
<file path=[Content_Types].xml><?xml version="1.0" encoding="utf-8"?>
<Types xmlns="http://schemas.openxmlformats.org/package/2006/content-types">
  <Default Extension="jpeg" ContentType="image/jpe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6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footer37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 w15">
  <w:body>
    <w:p>
      <w:pPr>
        <w:pStyle w:val="PO156"/>
        <w:rPr>
          <w:shd w:val="clear"/>
          <w:rFonts w:hint="eastAsia"/>
          <w:lang w:eastAsia="ko-KR"/>
        </w:rPr>
      </w:pPr>
      <w:r>
        <w:rPr>
          <w:shd w:val="clear"/>
          <w:rFonts w:hint="eastAsia"/>
          <w:lang w:eastAsia="ko-KR"/>
        </w:rPr>
        <w:t>E</w:t>
      </w:r>
      <w:r>
        <w:rPr>
          <w:shd w:val="clear"/>
          <w:lang w:eastAsia="ko-KR"/>
        </w:rPr>
        <w:t xml:space="preserve">xploration of Efficient and Economical Catalysts for Alkaline </w:t>
      </w:r>
      <w:r>
        <w:rPr>
          <w:shd w:val="clear"/>
          <w:lang w:eastAsia="ko-KR"/>
        </w:rPr>
        <w:t xml:space="preserve">Water Electrolysis</w:t>
      </w:r>
    </w:p>
    <w:p>
      <w:pPr>
        <w:jc w:val="center"/>
        <w:rPr>
          <w:shd w:val="clear"/>
          <w:rFonts w:ascii="Times New Roman" w:eastAsia="KoPubWorldBatang Light" w:hAnsi="Times New Roman"/>
          <w:lang w:eastAsia="ko-KR"/>
        </w:rPr>
      </w:pPr>
      <w:r>
        <w:rPr>
          <w:shd w:val="clear"/>
          <w:rFonts w:ascii="Times New Roman" w:eastAsia="KoPubWorldBatang Light" w:hAnsi="Times New Roman"/>
          <w:lang w:eastAsia="ko-KR"/>
        </w:rPr>
        <w:t xml:space="preserve">Lead Author: Woo Hyeon Kim, Hyeong Seong Shim, Min Woo Kim, Jae Young Lee, Jun Ho Choi, </w:t>
      </w:r>
    </w:p>
    <w:p>
      <w:pPr>
        <w:jc w:val="center"/>
        <w:rPr>
          <w:shd w:val="clear"/>
          <w:rFonts w:ascii="Times New Roman" w:eastAsia="KoPubWorldBatang Light" w:hAnsi="Times New Roman"/>
          <w:lang w:eastAsia="ko-KR"/>
        </w:rPr>
      </w:pPr>
      <w:r>
        <w:rPr>
          <w:shd w:val="clear"/>
          <w:rFonts w:ascii="Times New Roman" w:eastAsia="KoPubWorldBatang Light" w:hAnsi="Times New Roman"/>
          <w:lang w:eastAsia="ko-KR"/>
        </w:rPr>
        <w:t xml:space="preserve">Seo Jin Hwang, Won Woo Choi, Seo Jin Ryu</w:t>
      </w:r>
    </w:p>
    <w:p>
      <w:pPr>
        <w:jc w:val="center"/>
        <w:rPr>
          <w:shd w:val="clear"/>
          <w:rFonts w:ascii="Times New Roman" w:eastAsia="KoPubWorldBatang Light" w:hAnsi="Times New Roman"/>
          <w:lang w:eastAsia="ko-KR"/>
        </w:rPr>
      </w:pPr>
      <w:r>
        <w:rPr>
          <w:shd w:val="clear"/>
          <w:rFonts w:ascii="Times New Roman" w:eastAsia="KoPubWorldBatang Light" w:hAnsi="Times New Roman"/>
          <w:lang w:eastAsia="ko-KR"/>
        </w:rPr>
        <w:t xml:space="preserve">Co-Author: </w:t>
      </w:r>
      <w:r>
        <w:rPr>
          <w:shd w:val="clear"/>
          <w:rFonts w:ascii="Times New Roman" w:eastAsia="KoPubWorldBatang Light" w:hAnsi="KoPubWorldBatang Light" w:cs="KoPubWorldBatang Light"/>
          <w:lang w:bidi="ar-SA" w:eastAsia="ko-KR" w:val="en-US"/>
        </w:rPr>
        <w:t xml:space="preserve">Chang Hyeon Moon, </w:t>
      </w:r>
      <w:r>
        <w:rPr>
          <w:shd w:val="clear"/>
          <w:rFonts w:ascii="Times New Roman" w:eastAsia="KoPubWorldBatang Light" w:hAnsi="Times New Roman"/>
          <w:lang w:eastAsia="ko-KR"/>
        </w:rPr>
        <w:t xml:space="preserve">Hyun Seo Park, Joo Ha Jang, Ha Neul Kang, Yang Hyun Lee, Ha Jun Ko, Gyeong Min Ko</w:t>
      </w:r>
    </w:p>
    <w:p>
      <w:pPr>
        <w:jc w:val="center"/>
        <w:rPr>
          <w:shd w:val="clear"/>
          <w:rFonts w:ascii="Times New Roman" w:eastAsia="KoPubWorldBatang Light" w:hAnsi="Times New Roman"/>
          <w:lang w:eastAsia="ko-KR"/>
        </w:rPr>
      </w:pPr>
    </w:p>
    <w:p>
      <w:pPr>
        <w:pStyle w:val="PO158"/>
        <w:rPr>
          <w:shd w:val="clear"/>
        </w:rPr>
      </w:pPr>
      <w:r>
        <w:rPr>
          <w:shd w:val="clear"/>
        </w:rPr>
        <w:t xml:space="preserve">Jeonnam Science High School</w:t>
      </w:r>
    </w:p>
    <w:p>
      <w:pPr>
        <w:pStyle w:val="PO159"/>
        <w:rPr>
          <w:shd w:val="clear"/>
          <w:lang w:eastAsia="ko-KR"/>
        </w:rPr>
      </w:pPr>
    </w:p>
    <w:p>
      <w:pPr>
        <w:pStyle w:val="PO176"/>
        <w:sectPr>
          <w:titlePg/>
          <w:type w:val="continuous"/>
          <w:headerReference w:type="default" r:id="rId5"/>
          <w:footerReference w:type="even" r:id="rId6"/>
          <w:footerReference w:type="default" r:id="rId7"/>
          <w:pgSz w:w="12240" w:h="15840" w:code="1"/>
          <w:pgMar w:top="720" w:left="1094" w:bottom="950" w:right="1094" w:gutter="0"/>
          <w:pgNumType w:fmt="decimal"/>
          <w:docGrid w:type="default" w:linePitch="360" w:charSpace="0"/>
        </w:sectPr>
        <w:rPr>
          <w:shd w:val="clear"/>
          <w:rFonts w:ascii="Times New Roman" w:hAnsi="Times New Roman"/>
        </w:rPr>
      </w:pPr>
      <w:bookmarkStart w:id="1" w:name="_Hlk167903628"/>
      <w:r>
        <w:rPr>
          <w:shd w:val="clear"/>
          <w:rFonts w:ascii="Times New Roman" w:hAnsi="Times New Roman"/>
          <w:lang w:eastAsia="ko-KR"/>
        </w:rPr>
        <w:t xml:space="preserve"> </w:t>
      </w:r>
      <w:r>
        <w:rPr>
          <w:shd w:val="clear"/>
          <w:rFonts w:ascii="Times New Roman" w:hAnsi="Times New Roman"/>
        </w:rPr>
        <w:t xml:space="preserve">Supporting Information Placeholder (Highly Recommended) </w:t>
      </w:r>
    </w:p>
    <w:p>
      <w:pPr>
        <w:pStyle w:val="PO161"/>
        <w:rPr>
          <w:sz w:val="20"/>
          <w:szCs w:val="20"/>
          <w:shd w:val="clear"/>
          <w:rFonts w:ascii="Times New Roman" w:hAnsi="Times New Roman"/>
          <w:lang w:eastAsia="ko-KR"/>
        </w:rPr>
      </w:pPr>
      <w:r>
        <w:rPr>
          <w:rStyle w:val="PO184"/>
          <w:sz w:val="20"/>
          <w:szCs w:val="20"/>
          <w:shd w:val="clear"/>
        </w:rPr>
        <w:t>ABSTRACT: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 Green hydrogen has significant potential as a 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sustainable energy source, so finding efficient production 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method is critical. Conventional precious metal catalysts 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show high efficiency, but their high cost and limited 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available hinder their practical large-scale application. The 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aim of this study is to explore cost-effective and efficient 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non-noble metal catalysts for alkaline water electrolysis </w:t>
      </w:r>
      <w:r>
        <w:rPr>
          <w:sz w:val="20"/>
          <w:szCs w:val="20"/>
          <w:shd w:val="clear"/>
          <w:rFonts w:ascii="Times New Roman" w:hAnsi="Times New Roman"/>
          <w:lang w:eastAsia="ko-KR"/>
        </w:rPr>
        <w:t xml:space="preserve">(AWE) in green hydrogen production.</w:t>
      </w:r>
    </w:p>
    <w:p>
      <w:pPr>
        <w:pStyle w:val="PO185"/>
        <w:rPr>
          <w:shd w:val="clear"/>
        </w:rPr>
      </w:pPr>
      <w:r>
        <w:rPr>
          <w:shd w:val="clear"/>
        </w:rPr>
        <w:t xml:space="preserve"> Introduction</w:t>
      </w:r>
    </w:p>
    <w:p>
      <w:pPr>
        <w:pStyle w:val="PO185"/>
        <w:rPr>
          <w:b w:val="1"/>
          <w:shd w:val="clear"/>
        </w:rPr>
      </w:pPr>
      <w:r>
        <w:rPr>
          <w:shd w:val="clear"/>
        </w:rPr>
        <w:t xml:space="preserve">Since the Industrial Revolution, the indiscriminate use </w:t>
      </w:r>
      <w:r>
        <w:rPr>
          <w:shd w:val="clear"/>
        </w:rPr>
        <w:t xml:space="preserve">of fossil fuels and the rapid increase in energy </w:t>
      </w:r>
      <w:r>
        <w:rPr>
          <w:shd w:val="clear"/>
        </w:rPr>
        <w:t xml:space="preserve">consumption have sharply raised the atmospheric </w:t>
      </w:r>
      <w:r>
        <w:rPr>
          <w:shd w:val="clear"/>
        </w:rPr>
        <w:t xml:space="preserve">concentration of greenhouse gases, primarily </w:t>
      </w:r>
      <w:r>
        <w:rPr>
          <w:shd w:val="clear"/>
        </w:rPr>
        <w:t xml:space="preserve">represented by carbon dioxide (CO2). According to the </w:t>
      </w:r>
      <w:r>
        <w:rPr>
          <w:shd w:val="clear"/>
        </w:rPr>
        <w:t xml:space="preserve">Intergovernmental Panel on Climate Change (IPCC), as </w:t>
      </w:r>
      <w:r>
        <w:rPr>
          <w:shd w:val="clear"/>
        </w:rPr>
        <w:t xml:space="preserve">of 2023, the concentration of these gases has increased </w:t>
      </w:r>
      <w:r>
        <w:rPr>
          <w:shd w:val="clear"/>
        </w:rPr>
        <w:t xml:space="preserve">by 74% compared to 1990 levels, with CO2 emissions </w:t>
      </w:r>
      <w:r>
        <w:rPr>
          <w:shd w:val="clear"/>
        </w:rPr>
        <w:t xml:space="preserve">from fossil fuels and industrial activities constituting the </w:t>
      </w:r>
      <w:r>
        <w:rPr>
          <w:shd w:val="clear"/>
        </w:rPr>
        <w:t xml:space="preserve">largest share. To mitigate the accelerating problem of </w:t>
      </w:r>
      <w:r>
        <w:rPr>
          <w:shd w:val="clear"/>
        </w:rPr>
        <w:t xml:space="preserve">global warming, the development of renewable energy </w:t>
      </w:r>
      <w:r>
        <w:rPr>
          <w:shd w:val="clear"/>
        </w:rPr>
        <w:t xml:space="preserve">sources such as solar, wind, hydrogen energy, and fuel </w:t>
      </w:r>
      <w:r>
        <w:rPr>
          <w:shd w:val="clear"/>
        </w:rPr>
        <w:t xml:space="preserve">cells is underway. In particular, there is growing </w:t>
      </w:r>
      <w:r>
        <w:rPr>
          <w:shd w:val="clear"/>
        </w:rPr>
        <w:t xml:space="preserve">interest in hydrogen as an environmentally friendly </w:t>
      </w:r>
      <w:r>
        <w:rPr>
          <w:shd w:val="clear"/>
        </w:rPr>
        <w:t xml:space="preserve">energy carrier that can be stored, transported, and </w:t>
      </w:r>
      <w:r>
        <w:rPr>
          <w:shd w:val="clear"/>
        </w:rPr>
        <w:t>utilized.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Hydrogen is not only a clean energy resource but also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serves as an energy carrier for storing renewable energy,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and it has the potential to be quickly integrated into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existing energy and transportation systems. Furthermore, as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a non-toxic and lightweight gas, hydrogen disperses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quickly into the air if leaked, ensuring safety and making it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a highly attractive alternative to fossil fuels. 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Hydrogen energy can be produced using various processes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involving fossil fuels, biomass, and water through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reforming, pyrolysis, electrolysis, and photolysis.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Depending on the production method, hydrogen is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categorized into several types, with the three most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representative being gray, blue, and green hydrogen. Gray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hydrogen is produced from fossil fuels, emitting a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significant amount of CO2 as a byproduct. Blue hydrogen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utilizes Carbon Capture, Utilization, and Storage (CCUS)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technology to remove carbon monoxide and CO2 generated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during the production of gray hydrogen. While gray and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blue hydrogen are cost-effective, can be supplied in large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quantities, and are produced in various countries, they have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environmental pollution issues and lower reactivity.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Green hydrogen, on the other hand, is produced by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electrolyzing water using renewable energy sources such as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solar and wind power. Unlike the previous two types, green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hydrogen can be produced in a highly pure form (99.999%)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without carbon byproducts, making it the most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environmentally friendly decarbonization energy resource.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The International Renewable Energy Agency (IRENA) has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emphasized the necessity of green hydrogen in limiting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global temperature rise, highlighting its importance.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The electrochemical water splitting to produce green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hydrogen can be classified into three main technologies: (i)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high-temperature electrolysis, (ii) low-temperature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electrolysis, and (iii) photolysis. High-temperature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electrolysis involves splitting high-temperature steam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(above 700°C) to produce hydrogen and typically employs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solid oxide electrolyzer cells (SOECs). However, this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method requires additional thermal energy and faces issues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with material thermal stability at operating temperatures.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Low-temperature electrolysis operates at temperatures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below 100°C, offering greater device stability and higher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technological maturity, although challenges such as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durability and efficiency degradation remain. Despite these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issues, low-temperature electrolysis devices are gaining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attention due to their ease of installation, operational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stability, and direct integration with renewable energy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sources like solar power. Representative low-temperature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electrolysis devices include first-generation alkaline water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electrolysis (AWE) and second-generation proton exchange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membrane water electrolysis (PEMWE).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The classification of electrolysis generations typically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hinges on the ability to directly integrate with renewable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energy sources. Dense membrane systems like PEMWE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and anion exchange membrane water electrolysis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(AEMWE) have significant advantages in coupling with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intermittent energy sources like solar power. During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electrolysis, oxygen produced at the anode and hydrogen at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the cathode can diffuse to the opposite electrodes, mixing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the gases. While this mixing is negligible at high current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densities due to the large volumes of gas produced, at low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current densities, even a small amount of crossover can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significantly impact the concentration of hydrogen in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oxygen and vice versa, affecting safety.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Given the intermittent nature of solar power, the stability of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electrolysis systems can be compromised. Therefore, when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directly coupling solar systems with electrolysis for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hydrogen production, second-generation electrolysis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systems with dense membrane characteristics, which can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fundamentally block gas crossover, are receiving increased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>attention.</w:t>
      </w: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</w:p>
    <w:p>
      <w:pPr>
        <w:jc w:val="left"/>
        <w:shd w:val="clear" w:color="000000" w:fill="FFFFFF"/>
        <w:spacing w:after="0"/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</w:pPr>
      <w:r>
        <w:rPr>
          <w:color w:val="222222"/>
          <w:sz w:val="20"/>
          <w:szCs w:val="20"/>
          <w:shd w:val="clear"/>
          <w:rFonts w:ascii="Times New Roman" w:eastAsia="굴림" w:hAnsi="Times New Roman" w:hint="eastAsia"/>
          <w:lang w:eastAsia="ko-KR"/>
        </w:rPr>
        <w:t>I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n this study, the team tried to implement the second-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generation water electrolysis system, which is most popular,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but the research facilities and materials available in the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high school were limited, so the team decided to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experimentally implement the first-generation water </w:t>
      </w:r>
      <w:r>
        <w:rPr>
          <w:color w:val="222222"/>
          <w:sz w:val="20"/>
          <w:szCs w:val="20"/>
          <w:shd w:val="clear"/>
          <w:rFonts w:ascii="Times New Roman" w:eastAsia="굴림" w:hAnsi="Times New Roman"/>
          <w:lang w:eastAsia="ko-KR"/>
        </w:rPr>
        <w:t xml:space="preserve">electrolysis device, alkaline phosphorus water electrolysis.</w:t>
      </w:r>
    </w:p>
    <w:tbl>
      <w:tblID w:val="0"/>
      <w:tblPr>
        <w:tblCellMar>
          <w:left w:w="15" w:type="dxa"/>
          <w:top w:w="15" w:type="dxa"/>
          <w:right w:w="15" w:type="dxa"/>
          <w:bottom w:w="15" w:type="dxa"/>
        </w:tblCellMar>
        <w:tblW w:w="0" w:type="auto"/>
        <w:tblLook w:val="0004A0" w:firstRow="1" w:lastRow="0" w:firstColumn="1" w:lastColumn="0" w:noHBand="0" w:noVBand="1"/>
        <w:tblLayout w:type="auto"/>
      </w:tblPr>
      <w:tblGrid>
        <w:gridCol w:w="1080"/>
      </w:tblGrid>
      <w:tr>
        <w:trPr>
          <w:hidden w:val="0"/>
        </w:trPr>
        <w:tc>
          <w:tcPr>
            <w:tcW w:type="dxa" w:w="1080"/>
            <w:tcMar>
              <w:left w:w="240" w:type="dxa"/>
              <w:right w:w="240" w:type="dxa"/>
              <w:top w:w="0" w:type="dxa"/>
              <w:bottom w:w="0" w:type="dxa"/>
            </w:tcMar>
            <w:vAlign w:val="top"/>
          </w:tcPr>
          <w:p>
            <w:pPr>
              <w:jc w:val="left"/>
              <w:spacing w:after="0"/>
              <w:rPr>
                <w:shd w:val="clear"/>
                <w:rFonts w:ascii="굴림" w:eastAsia="굴림" w:hAnsi="굴림" w:cs="굴림"/>
                <w:lang w:eastAsia="ko-KR"/>
              </w:rPr>
            </w:pPr>
          </w:p>
        </w:tc>
      </w:tr>
    </w:tbl>
    <w:p>
      <w:pPr>
        <w:pStyle w:val="PO185"/>
        <w:rPr>
          <w:shd w:val="clear"/>
        </w:rPr>
      </w:pPr>
      <w:r>
        <w:rPr>
          <w:shd w:val="clear"/>
        </w:rPr>
        <w:t xml:space="preserve">Materials and Methods </w:t>
      </w:r>
    </w:p>
    <w:p>
      <w:pPr>
        <w:pStyle w:val="PO185"/>
        <w:numPr>
          <w:numId w:val="7"/>
          <w:ilvl w:val="0"/>
        </w:numPr>
        <w:rPr>
          <w:shd w:val="clear"/>
        </w:rPr>
      </w:pPr>
      <w:r>
        <w:rPr>
          <w:shd w:val="clear"/>
        </w:rPr>
        <w:t xml:space="preserve">Dissolve 40g of NaOH used as electrolyte in  </w:t>
      </w:r>
      <w:r>
        <w:rPr>
          <w:shd w:val="clear"/>
        </w:rPr>
        <w:t xml:space="preserve">distilled water to make a 1M aqueous </w:t>
      </w:r>
      <w:r>
        <w:rPr>
          <w:shd w:val="clear"/>
        </w:rPr>
        <w:t xml:space="preserve">solution of NaOH in a 1000mL volumetric </w:t>
      </w:r>
      <w:r>
        <w:rPr>
          <w:shd w:val="clear"/>
        </w:rPr>
        <w:t>flask.</w:t>
      </w:r>
    </w:p>
    <w:p>
      <w:pPr>
        <w:pStyle w:val="PO185"/>
        <w:numPr>
          <w:numId w:val="7"/>
          <w:ilvl w:val="0"/>
        </w:numPr>
        <w:rPr>
          <w:shd w:val="clear"/>
        </w:rPr>
      </w:pPr>
      <w:r>
        <w:rPr>
          <w:shd w:val="clear"/>
          <w:rFonts w:hint="eastAsia"/>
        </w:rPr>
        <w:t>W</w:t>
      </w:r>
      <w:r>
        <w:rPr>
          <w:shd w:val="clear"/>
        </w:rPr>
        <w:t xml:space="preserve">eigh out 0.005mol each of CaCl</w:t>
      </w:r>
      <w:r>
        <w:rPr>
          <w:vertAlign w:val="subscript"/>
          <w:shd w:val="clear"/>
        </w:rPr>
        <w:t>2</w:t>
      </w:r>
      <w:r>
        <w:rPr>
          <w:shd w:val="clear"/>
        </w:rPr>
        <w:t xml:space="preserve">, NiCl</w:t>
      </w:r>
      <w:r>
        <w:rPr>
          <w:vertAlign w:val="subscript"/>
          <w:shd w:val="clear"/>
        </w:rPr>
        <w:t>2</w:t>
      </w:r>
      <w:r>
        <w:rPr>
          <w:shd w:val="clear"/>
        </w:rPr>
        <w:t xml:space="preserve">, </w:t>
      </w:r>
      <w:r>
        <w:rPr>
          <w:shd w:val="clear"/>
        </w:rPr>
        <w:t xml:space="preserve">CuCl, Fe</w:t>
      </w:r>
      <w:r>
        <w:rPr>
          <w:vertAlign w:val="subscript"/>
          <w:shd w:val="clear"/>
        </w:rPr>
        <w:t>2</w:t>
      </w:r>
      <w:r>
        <w:rPr>
          <w:shd w:val="clear"/>
        </w:rPr>
        <w:t>SO</w:t>
      </w:r>
      <w:r>
        <w:rPr>
          <w:vertAlign w:val="subscript"/>
          <w:shd w:val="clear"/>
        </w:rPr>
        <w:t>4</w:t>
      </w:r>
      <w:r>
        <w:rPr>
          <w:shd w:val="clear"/>
        </w:rPr>
        <w:t xml:space="preserve">, Fe</w:t>
      </w:r>
      <w:r>
        <w:rPr>
          <w:vertAlign w:val="subscript"/>
          <w:shd w:val="clear"/>
        </w:rPr>
        <w:t>2</w:t>
      </w:r>
      <w:r>
        <w:rPr>
          <w:shd w:val="clear"/>
        </w:rPr>
        <w:t>(SO</w:t>
      </w:r>
      <w:r>
        <w:rPr>
          <w:vertAlign w:val="subscript"/>
          <w:shd w:val="clear"/>
        </w:rPr>
        <w:t>4</w:t>
      </w:r>
      <w:r>
        <w:rPr>
          <w:shd w:val="clear"/>
        </w:rPr>
        <w:t>)</w:t>
      </w:r>
      <w:r>
        <w:rPr>
          <w:vertAlign w:val="subscript"/>
          <w:shd w:val="clear"/>
        </w:rPr>
        <w:t>3</w:t>
      </w:r>
      <w:r>
        <w:rPr>
          <w:shd w:val="clear"/>
        </w:rPr>
        <w:t xml:space="preserve">, and FeCl</w:t>
      </w:r>
      <w:r>
        <w:rPr>
          <w:vertAlign w:val="subscript"/>
          <w:shd w:val="clear"/>
        </w:rPr>
        <w:t>2</w:t>
      </w:r>
      <w:r>
        <w:rPr>
          <w:shd w:val="clear"/>
        </w:rPr>
        <w:t xml:space="preserve"> to be </w:t>
      </w:r>
      <w:r>
        <w:rPr>
          <w:shd w:val="clear"/>
        </w:rPr>
        <w:t xml:space="preserve">used as catalysts.</w:t>
      </w:r>
    </w:p>
    <w:p>
      <w:pPr>
        <w:pStyle w:val="PO185"/>
        <w:numPr>
          <w:numId w:val="7"/>
          <w:ilvl w:val="0"/>
        </w:numPr>
        <w:rPr>
          <w:shd w:val="clear"/>
        </w:rPr>
      </w:pPr>
      <w:r>
        <w:rPr>
          <w:shd w:val="clear"/>
          <w:rFonts w:hint="eastAsia"/>
        </w:rPr>
        <w:t>D</w:t>
      </w:r>
      <w:r>
        <w:rPr>
          <w:shd w:val="clear"/>
        </w:rPr>
        <w:t xml:space="preserve">ivide 1M NaOH aqueous solution into </w:t>
      </w:r>
      <w:r>
        <w:rPr>
          <w:shd w:val="clear"/>
        </w:rPr>
        <w:t xml:space="preserve">100mL portions using a graduated cylinder </w:t>
      </w:r>
      <w:r>
        <w:rPr>
          <w:shd w:val="clear"/>
        </w:rPr>
        <w:t xml:space="preserve">into each beaker, add the prepared catalyst </w:t>
      </w:r>
      <w:r>
        <w:rPr>
          <w:shd w:val="clear"/>
        </w:rPr>
        <w:t xml:space="preserve">and mix.</w:t>
      </w:r>
    </w:p>
    <w:p>
      <w:pPr>
        <w:pStyle w:val="PO185"/>
        <w:numPr>
          <w:numId w:val="7"/>
          <w:ilvl w:val="0"/>
        </w:numPr>
        <w:rPr>
          <w:shd w:val="clear"/>
        </w:rPr>
      </w:pPr>
      <w:r>
        <w:rPr>
          <w:shd w:val="clear"/>
          <w:rFonts w:hint="eastAsia"/>
        </w:rPr>
        <w:t>P</w:t>
      </w:r>
      <w:r>
        <w:rPr>
          <w:shd w:val="clear"/>
        </w:rPr>
        <w:t xml:space="preserve">lace each beaker on a stirrer and adjust the </w:t>
      </w:r>
      <w:r>
        <w:rPr>
          <w:shd w:val="clear"/>
        </w:rPr>
        <w:t xml:space="preserve">temperature to 75 degrees.</w:t>
      </w:r>
    </w:p>
    <w:p>
      <w:pPr>
        <w:pStyle w:val="PO185"/>
        <w:numPr>
          <w:numId w:val="7"/>
          <w:ilvl w:val="0"/>
        </w:numPr>
        <w:rPr>
          <w:shd w:val="clear"/>
        </w:rPr>
      </w:pPr>
      <w:r>
        <w:rPr>
          <w:shd w:val="clear"/>
        </w:rPr>
        <w:t xml:space="preserve">Setting Zn(-) and Fe(+) as electrodes used in </w:t>
      </w:r>
      <w:r>
        <w:rPr>
          <w:shd w:val="clear"/>
        </w:rPr>
        <w:t xml:space="preserve">(Fig 1-1). After connecting the power supply </w:t>
      </w:r>
      <w:r>
        <w:rPr>
          <w:shd w:val="clear"/>
        </w:rPr>
        <w:t xml:space="preserve">and electrodes, set the voltage to 20V. Do not </w:t>
      </w:r>
      <w:r>
        <w:rPr>
          <w:shd w:val="clear"/>
        </w:rPr>
        <w:t xml:space="preserve">consider the internal electromotive force </w:t>
      </w:r>
      <w:r>
        <w:rPr>
          <w:shd w:val="clear"/>
        </w:rPr>
        <w:t xml:space="preserve">between the electrodes and keep it at 20V.</w:t>
      </w:r>
    </w:p>
    <w:p>
      <w:pPr>
        <w:pStyle w:val="PO195"/>
        <w:ind w:left="1120" w:firstLine="0"/>
        <w:rPr>
          <w:shd w:val="clear"/>
        </w:rPr>
        <w:snapToGrid w:val="on"/>
      </w:pPr>
      <w:r>
        <w:rPr>
          <w:sz w:val="20"/>
        </w:rPr>
        <w:drawing>
          <wp:inline distT="0" distB="0" distL="0" distR="0">
            <wp:extent cx="1924049" cy="1438275"/>
            <wp:effectExtent l="0" t="0" r="0" b="9525"/>
            <wp:docPr id="18" name="그림 3" descr="EMB00035f8c5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Android/data/com.infraware.office.link/cache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43891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195"/>
        <w:jc w:val="center"/>
        <w:ind w:left="1120" w:firstLine="0"/>
        <w:rPr>
          <w:sz w:val="16"/>
          <w:szCs w:val="16"/>
          <w:shd w:val="clear"/>
          <w:rFonts w:ascii="Times New Roman" w:hAnsi="Times New Roman" w:cs="Times New Roman"/>
        </w:rPr>
        <w:snapToGrid w:val="on"/>
      </w:pPr>
      <w:r>
        <w:rPr>
          <w:sz w:val="16"/>
          <w:szCs w:val="16"/>
          <w:shd w:val="clear"/>
          <w:rFonts w:ascii="Times New Roman" w:hAnsi="Times New Roman" w:cs="Times New Roman"/>
        </w:rPr>
        <w:t xml:space="preserve">(Fig 1-1) Set the Zn plate on the (-) pole and the Fe plate </w:t>
      </w:r>
      <w:r>
        <w:rPr>
          <w:sz w:val="16"/>
          <w:szCs w:val="16"/>
          <w:shd w:val="clear"/>
          <w:rFonts w:ascii="Times New Roman" w:hAnsi="Times New Roman" w:cs="Times New Roman"/>
        </w:rPr>
        <w:t xml:space="preserve">on the (+) pole</w:t>
      </w:r>
    </w:p>
    <w:p>
      <w:pPr>
        <w:pStyle w:val="PO195"/>
        <w:numPr>
          <w:numId w:val="7"/>
          <w:ilvl w:val="0"/>
        </w:numPr>
        <w:rPr>
          <w:shd w:val="clear"/>
          <w:rFonts w:ascii="Times New Roman" w:hAnsi="Times New Roman" w:cs="Times New Roman"/>
        </w:rPr>
        <w:snapToGrid w:val="on"/>
      </w:pPr>
      <w:r>
        <w:rPr>
          <w:shd w:val="clear"/>
          <w:rFonts w:ascii="Times New Roman" w:hAnsi="Times New Roman" w:cs="Times New Roman"/>
        </w:rPr>
        <w:t xml:space="preserve">Power on the Power Supply and allow it to </w:t>
      </w:r>
      <w:r>
        <w:rPr>
          <w:shd w:val="clear"/>
          <w:rFonts w:ascii="Times New Roman" w:hAnsi="Times New Roman" w:cs="Times New Roman"/>
        </w:rPr>
        <w:t xml:space="preserve">hydrolyze for 7 minutes. (Fig 1-2)</w:t>
      </w:r>
    </w:p>
    <w:p>
      <w:pPr>
        <w:pStyle w:val="PO195"/>
        <w:ind w:left="1120" w:firstLine="0"/>
        <w:rPr>
          <w:shd w:val="clear"/>
        </w:rPr>
        <w:snapToGrid w:val="on"/>
      </w:pPr>
      <w:r>
        <w:rPr>
          <w:sz w:val="20"/>
        </w:rPr>
        <w:drawing>
          <wp:inline distT="0" distB="0" distL="0" distR="0">
            <wp:extent cx="1647825" cy="1560195"/>
            <wp:effectExtent l="0" t="0" r="0" b="1905"/>
            <wp:docPr id="19" name="그림 4" descr="EMB00035f8c5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Android/data/com.infraware.office.link/cache/.polaris_temp/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4" b="18643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56083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195"/>
        <w:jc w:val="center"/>
        <w:rPr>
          <w:shd w:val="clear"/>
        </w:rPr>
        <w:snapToGrid w:val="on"/>
      </w:pPr>
      <w:r>
        <w:rPr>
          <w:sz w:val="20"/>
        </w:rPr>
        <w:drawing>
          <wp:inline distT="0" distB="0" distL="0" distR="0">
            <wp:extent cx="1466850" cy="1838324"/>
            <wp:effectExtent l="0" t="0" r="0" b="9525"/>
            <wp:docPr id="20" name="그림 6" descr="EMB00035f8c5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storage/emulated/0/Android/data/com.infraware.office.link/cache/.polaris_temp/imag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1" t="25752" r="31984" b="52219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8389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O195"/>
        <w:ind w:left="1120" w:firstLine="0"/>
        <w:rPr>
          <w:sz w:val="16"/>
          <w:szCs w:val="16"/>
          <w:shd w:val="clear"/>
          <w:rFonts w:ascii="Times New Roman" w:hAnsi="Times New Roman" w:cs="Times New Roman"/>
        </w:rPr>
        <w:snapToGrid w:val="on"/>
      </w:pPr>
      <w:r>
        <w:rPr>
          <w:sz w:val="16"/>
          <w:szCs w:val="16"/>
          <w:shd w:val="clear"/>
          <w:rFonts w:ascii="Times New Roman" w:hAnsi="Times New Roman" w:cs="Times New Roman" w:hint="eastAsia"/>
        </w:rPr>
        <w:t>(</w:t>
      </w:r>
      <w:r>
        <w:rPr>
          <w:sz w:val="16"/>
          <w:szCs w:val="16"/>
          <w:shd w:val="clear"/>
          <w:rFonts w:ascii="Times New Roman" w:hAnsi="Times New Roman" w:cs="Times New Roman"/>
        </w:rPr>
        <w:t xml:space="preserve">Fig 1-2) Water electrolysis using Fe</w:t>
      </w:r>
      <w:r>
        <w:rPr>
          <w:vertAlign w:val="subscript"/>
          <w:sz w:val="16"/>
          <w:szCs w:val="16"/>
          <w:shd w:val="clear"/>
          <w:rFonts w:ascii="Times New Roman" w:hAnsi="Times New Roman" w:cs="Times New Roman"/>
        </w:rPr>
        <w:t>2</w:t>
      </w:r>
      <w:r>
        <w:rPr>
          <w:sz w:val="16"/>
          <w:szCs w:val="16"/>
          <w:shd w:val="clear"/>
          <w:rFonts w:ascii="Times New Roman" w:hAnsi="Times New Roman" w:cs="Times New Roman"/>
        </w:rPr>
        <w:t>(SO</w:t>
      </w:r>
      <w:r>
        <w:rPr>
          <w:vertAlign w:val="subscript"/>
          <w:sz w:val="16"/>
          <w:szCs w:val="16"/>
          <w:shd w:val="clear"/>
          <w:rFonts w:ascii="Times New Roman" w:hAnsi="Times New Roman" w:cs="Times New Roman"/>
        </w:rPr>
        <w:t>4</w:t>
      </w:r>
      <w:r>
        <w:rPr>
          <w:sz w:val="16"/>
          <w:szCs w:val="16"/>
          <w:shd w:val="clear"/>
          <w:rFonts w:ascii="Times New Roman" w:hAnsi="Times New Roman" w:cs="Times New Roman"/>
        </w:rPr>
        <w:t>)</w:t>
      </w:r>
      <w:r>
        <w:rPr>
          <w:vertAlign w:val="subscript"/>
          <w:sz w:val="16"/>
          <w:szCs w:val="16"/>
          <w:shd w:val="clear"/>
          <w:rFonts w:ascii="Times New Roman" w:hAnsi="Times New Roman" w:cs="Times New Roman"/>
        </w:rPr>
        <w:t>3</w:t>
      </w:r>
      <w:r>
        <w:rPr>
          <w:sz w:val="16"/>
          <w:szCs w:val="16"/>
          <w:shd w:val="clear"/>
          <w:rFonts w:ascii="Times New Roman" w:hAnsi="Times New Roman" w:cs="Times New Roman"/>
        </w:rPr>
        <w:t xml:space="preserve">, Cocl</w:t>
      </w:r>
      <w:r>
        <w:rPr>
          <w:vertAlign w:val="subscript"/>
          <w:sz w:val="16"/>
          <w:szCs w:val="16"/>
          <w:shd w:val="clear"/>
          <w:rFonts w:ascii="Times New Roman" w:hAnsi="Times New Roman" w:cs="Times New Roman"/>
        </w:rPr>
        <w:t>2</w:t>
      </w:r>
      <w:r>
        <w:rPr>
          <w:sz w:val="16"/>
          <w:szCs w:val="16"/>
          <w:shd w:val="clear"/>
          <w:rFonts w:ascii="Times New Roman" w:hAnsi="Times New Roman" w:cs="Times New Roman"/>
        </w:rPr>
        <w:t xml:space="preserve"> as a </w:t>
      </w:r>
      <w:r>
        <w:rPr>
          <w:sz w:val="16"/>
          <w:szCs w:val="16"/>
          <w:shd w:val="clear"/>
          <w:rFonts w:ascii="Times New Roman" w:hAnsi="Times New Roman" w:cs="Times New Roman"/>
        </w:rPr>
        <w:t>catalyst.</w:t>
      </w:r>
    </w:p>
    <w:p>
      <w:pPr>
        <w:pStyle w:val="PO195"/>
        <w:numPr>
          <w:numId w:val="7"/>
          <w:ilvl w:val="0"/>
        </w:numPr>
        <w:rPr>
          <w:shd w:val="clear"/>
          <w:rFonts w:ascii="Times New Roman" w:hAnsi="Times New Roman" w:cs="Times New Roman"/>
        </w:rPr>
        <w:snapToGrid w:val="on"/>
      </w:pPr>
      <w:r>
        <w:rPr>
          <w:shd w:val="clear"/>
          <w:rFonts w:ascii="Times New Roman" w:hAnsi="Times New Roman" w:cs="Times New Roman"/>
        </w:rPr>
        <w:t xml:space="preserve">After 7 minutes, measure the amount of </w:t>
      </w:r>
      <w:r>
        <w:rPr>
          <w:shd w:val="clear"/>
          <w:rFonts w:ascii="Times New Roman" w:hAnsi="Times New Roman" w:cs="Times New Roman"/>
        </w:rPr>
        <w:t xml:space="preserve">hydrogen gas produced in each beaker. This </w:t>
      </w:r>
      <w:r>
        <w:rPr>
          <w:shd w:val="clear"/>
          <w:rFonts w:ascii="Times New Roman" w:hAnsi="Times New Roman" w:cs="Times New Roman"/>
        </w:rPr>
        <w:t xml:space="preserve">can be evaluated relatively by measuring the </w:t>
      </w:r>
      <w:r>
        <w:rPr>
          <w:shd w:val="clear"/>
          <w:rFonts w:ascii="Times New Roman" w:hAnsi="Times New Roman" w:cs="Times New Roman"/>
        </w:rPr>
        <w:t xml:space="preserve">volume of solution that has decreased after </w:t>
      </w:r>
      <w:r>
        <w:rPr>
          <w:shd w:val="clear"/>
          <w:rFonts w:ascii="Times New Roman" w:hAnsi="Times New Roman" w:cs="Times New Roman"/>
        </w:rPr>
        <w:t>hydroelectrolysis.</w:t>
      </w:r>
    </w:p>
    <w:p>
      <w:pPr>
        <w:pStyle w:val="PO185"/>
        <w:rPr>
          <w:shd w:val="clear"/>
        </w:rPr>
      </w:pPr>
      <w:r>
        <w:rPr>
          <w:shd w:val="clear"/>
          <w:rFonts w:hint="eastAsia"/>
        </w:rPr>
        <w:t xml:space="preserve"> </w:t>
      </w:r>
      <w:r>
        <w:rPr>
          <w:shd w:val="clear"/>
        </w:rPr>
        <w:t>Results</w:t>
      </w:r>
    </w:p>
    <w:tbl>
      <w:tblID w:val="0"/>
      <w:tblPr>
        <w:tblStyle w:val="PO37"/>
        <w:tblCellMar>
          <w:left w:w="108" w:type="dxa"/>
          <w:top w:w="0" w:type="dxa"/>
          <w:right w:w="108" w:type="dxa"/>
          <w:bottom w:w="0" w:type="dxa"/>
        </w:tblCellMar>
        <w:tblW w:w="5524" w:type="dxa"/>
        <w:tblLook w:val="0004A0" w:firstRow="1" w:lastRow="0" w:firstColumn="1" w:lastColumn="0" w:noHBand="0" w:noVBand="1"/>
        <w:tblLayout w:type="fixed"/>
      </w:tblPr>
      <w:tblGrid>
        <w:gridCol w:w="1248"/>
        <w:gridCol w:w="1335"/>
        <w:gridCol w:w="1401"/>
        <w:gridCol w:w="1540"/>
      </w:tblGrid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Catalyst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</w:rPr>
              <w:t xml:space="preserve">Initial </w:t>
            </w:r>
            <w:r>
              <w:rPr>
                <w:shd w:val="clear"/>
              </w:rPr>
              <w:t xml:space="preserve">part of the </w:t>
            </w:r>
            <w:r>
              <w:rPr>
                <w:shd w:val="clear"/>
              </w:rPr>
              <w:t>solution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</w:rPr>
              <w:t xml:space="preserve">Solution </w:t>
            </w:r>
            <w:r>
              <w:rPr>
                <w:shd w:val="clear"/>
              </w:rPr>
              <w:t xml:space="preserve">volume </w:t>
            </w:r>
            <w:r>
              <w:rPr>
                <w:shd w:val="clear"/>
              </w:rPr>
              <w:t xml:space="preserve">after </w:t>
            </w:r>
            <w:r>
              <w:rPr>
                <w:shd w:val="clear"/>
              </w:rPr>
              <w:t>experiment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</w:rPr>
              <w:t xml:space="preserve">Reduced </w:t>
            </w:r>
            <w:r>
              <w:rPr>
                <w:shd w:val="clear"/>
              </w:rPr>
              <w:t xml:space="preserve">solution </w:t>
            </w:r>
            <w:r>
              <w:rPr>
                <w:shd w:val="clear"/>
              </w:rPr>
              <w:t>volume</w:t>
            </w:r>
          </w:p>
        </w:tc>
      </w:tr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X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96.5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3.5</w:t>
            </w:r>
          </w:p>
        </w:tc>
      </w:tr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vertAlign w:val="subscript"/>
                <w:shd w:val="clear"/>
                <w:rFonts w:hint="eastAsia"/>
              </w:rPr>
            </w:pPr>
            <w:r>
              <w:rPr>
                <w:shd w:val="clear"/>
              </w:rPr>
              <w:t>NiCl</w:t>
            </w:r>
            <w:r>
              <w:rPr>
                <w:vertAlign w:val="subscript"/>
                <w:shd w:val="clear"/>
              </w:rPr>
              <w:t>2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96.5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3.5</w:t>
            </w:r>
          </w:p>
        </w:tc>
      </w:tr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vertAlign w:val="subscript"/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FeSO</w:t>
            </w:r>
            <w:r>
              <w:rPr>
                <w:vertAlign w:val="subscript"/>
                <w:shd w:val="clear"/>
              </w:rPr>
              <w:t>4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95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5</w:t>
            </w:r>
          </w:p>
        </w:tc>
      </w:tr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vertAlign w:val="subscript"/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Fe</w:t>
            </w:r>
            <w:r>
              <w:rPr>
                <w:vertAlign w:val="subscript"/>
                <w:shd w:val="clear"/>
              </w:rPr>
              <w:t>2</w:t>
            </w:r>
            <w:r>
              <w:rPr>
                <w:shd w:val="clear"/>
              </w:rPr>
              <w:t>(SO</w:t>
            </w:r>
            <w:r>
              <w:rPr>
                <w:vertAlign w:val="subscript"/>
                <w:shd w:val="clear"/>
              </w:rPr>
              <w:t>4</w:t>
            </w:r>
            <w:r>
              <w:rPr>
                <w:shd w:val="clear"/>
              </w:rPr>
              <w:t>)</w:t>
            </w:r>
            <w:r>
              <w:rPr>
                <w:vertAlign w:val="subscript"/>
                <w:shd w:val="clear"/>
              </w:rPr>
              <w:t>3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85.5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14.5</w:t>
            </w:r>
          </w:p>
        </w:tc>
      </w:tr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vertAlign w:val="subscript"/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CuCl</w:t>
            </w:r>
            <w:r>
              <w:rPr>
                <w:vertAlign w:val="subscript"/>
                <w:shd w:val="clear"/>
              </w:rPr>
              <w:t>2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0</w:t>
            </w:r>
          </w:p>
        </w:tc>
      </w:tr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vertAlign w:val="subscript"/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FeCl</w:t>
            </w:r>
            <w:r>
              <w:rPr>
                <w:vertAlign w:val="subscript"/>
                <w:shd w:val="clear"/>
              </w:rPr>
              <w:t>2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X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X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X</w:t>
            </w:r>
          </w:p>
        </w:tc>
      </w:tr>
      <w:tr>
        <w:trPr>
          <w:hidden w:val="0"/>
        </w:trPr>
        <w:tc>
          <w:tcPr>
            <w:tcW w:type="dxa" w:w="1248"/>
            <w:vAlign w:val="top"/>
          </w:tcPr>
          <w:p>
            <w:pPr>
              <w:pStyle w:val="PO155"/>
              <w:rPr>
                <w:vertAlign w:val="subscript"/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Co</w:t>
            </w:r>
            <w:r>
              <w:rPr>
                <w:shd w:val="clear"/>
              </w:rPr>
              <w:t>Cl</w:t>
            </w:r>
            <w:r>
              <w:rPr>
                <w:vertAlign w:val="subscript"/>
                <w:shd w:val="clear"/>
              </w:rPr>
              <w:t>2</w:t>
            </w:r>
          </w:p>
        </w:tc>
        <w:tc>
          <w:tcPr>
            <w:tcW w:type="dxa" w:w="1335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401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100</w:t>
            </w:r>
          </w:p>
        </w:tc>
        <w:tc>
          <w:tcPr>
            <w:tcW w:type="dxa" w:w="1540"/>
            <w:vAlign w:val="top"/>
          </w:tcPr>
          <w:p>
            <w:pPr>
              <w:pStyle w:val="PO155"/>
              <w:rPr>
                <w:shd w:val="clear"/>
                <w:rFonts w:hint="eastAsia"/>
              </w:rPr>
            </w:pPr>
            <w:r>
              <w:rPr>
                <w:shd w:val="clear"/>
                <w:rFonts w:hint="eastAsia"/>
              </w:rPr>
              <w:t>0</w:t>
            </w:r>
          </w:p>
        </w:tc>
      </w:tr>
    </w:tbl>
    <w:p>
      <w:pPr>
        <w:pStyle w:val="PO155"/>
        <w:rPr>
          <w:shd w:val="clear"/>
        </w:rPr>
      </w:pPr>
      <w:r>
        <w:rPr>
          <w:shd w:val="clear"/>
          <w:rFonts w:hint="eastAsia"/>
        </w:rPr>
        <w:t xml:space="preserve">[Table 1</w:t>
      </w:r>
      <w:r>
        <w:rPr>
          <w:shd w:val="clear"/>
        </w:rPr>
        <w:t xml:space="preserve">] This table shows the final remaining </w:t>
      </w:r>
      <w:r>
        <w:rPr>
          <w:shd w:val="clear"/>
        </w:rPr>
        <w:t xml:space="preserve">and reduced volumes over the course of the </w:t>
      </w:r>
      <w:r>
        <w:rPr>
          <w:shd w:val="clear"/>
        </w:rPr>
        <w:t>experiment.</w:t>
      </w:r>
    </w:p>
    <w:p>
      <w:pPr>
        <w:pStyle w:val="PO185"/>
        <w:rPr>
          <w:shd w:val="clear"/>
          <w:highlight w:val="yellow"/>
        </w:rPr>
      </w:pPr>
      <w:r>
        <w:rPr>
          <w:shd w:val="clear"/>
        </w:rPr>
        <w:t xml:space="preserve">The extent of hydrogen gas generation using each catalyst </w:t>
      </w:r>
      <w:r>
        <w:rPr>
          <w:shd w:val="clear"/>
        </w:rPr>
        <w:t xml:space="preserve">was determined by the volume of the reduced electrolyte </w:t>
      </w:r>
      <w:r>
        <w:rPr>
          <w:shd w:val="clear"/>
        </w:rPr>
        <w:t xml:space="preserve">aqueous solution. NiCl</w:t>
      </w:r>
      <w:r>
        <w:rPr>
          <w:vertAlign w:val="subscript"/>
          <w:shd w:val="clear"/>
        </w:rPr>
        <w:t>2</w:t>
      </w:r>
      <w:r>
        <w:rPr>
          <w:shd w:val="clear"/>
        </w:rPr>
        <w:t xml:space="preserve"> produced the same amount of gas </w:t>
      </w:r>
      <w:r>
        <w:rPr>
          <w:shd w:val="clear"/>
        </w:rPr>
        <w:t xml:space="preserve">as without the catalyst. CuCl and FeSO</w:t>
      </w:r>
      <w:r>
        <w:rPr>
          <w:vertAlign w:val="subscript"/>
          <w:shd w:val="clear"/>
        </w:rPr>
        <w:t>4</w:t>
      </w:r>
      <w:r>
        <w:rPr>
          <w:shd w:val="clear"/>
        </w:rPr>
        <w:t xml:space="preserve"> generated more </w:t>
      </w:r>
      <w:r>
        <w:rPr>
          <w:shd w:val="clear"/>
        </w:rPr>
        <w:t xml:space="preserve">gas than NiCl2, but Fe</w:t>
      </w:r>
      <w:r>
        <w:rPr>
          <w:vertAlign w:val="subscript"/>
          <w:shd w:val="clear"/>
        </w:rPr>
        <w:t>2</w:t>
      </w:r>
      <w:r>
        <w:rPr>
          <w:shd w:val="clear"/>
        </w:rPr>
        <w:t>(SO</w:t>
      </w:r>
      <w:r>
        <w:rPr>
          <w:vertAlign w:val="subscript"/>
          <w:shd w:val="clear"/>
        </w:rPr>
        <w:t>4</w:t>
      </w:r>
      <w:r>
        <w:rPr>
          <w:shd w:val="clear"/>
        </w:rPr>
        <w:t>)</w:t>
      </w:r>
      <w:r>
        <w:rPr>
          <w:vertAlign w:val="subscript"/>
          <w:shd w:val="clear"/>
        </w:rPr>
        <w:t>3</w:t>
      </w:r>
      <w:r>
        <w:rPr>
          <w:shd w:val="clear"/>
        </w:rPr>
        <w:t xml:space="preserve"> formed the most gas. CuCl</w:t>
      </w:r>
      <w:r>
        <w:rPr>
          <w:vertAlign w:val="subscript"/>
          <w:shd w:val="clear"/>
        </w:rPr>
        <w:t>2</w:t>
      </w:r>
      <w:r>
        <w:rPr>
          <w:shd w:val="clear"/>
        </w:rPr>
        <w:t xml:space="preserve"> </w:t>
      </w:r>
      <w:r>
        <w:rPr>
          <w:shd w:val="clear"/>
        </w:rPr>
        <w:t xml:space="preserve">and CoCl</w:t>
      </w:r>
      <w:r>
        <w:rPr>
          <w:vertAlign w:val="subscript"/>
          <w:shd w:val="clear"/>
        </w:rPr>
        <w:t>2</w:t>
      </w:r>
      <w:r>
        <w:rPr>
          <w:shd w:val="clear"/>
        </w:rPr>
        <w:t xml:space="preserve"> were unable to act as catalysts because they </w:t>
      </w:r>
      <w:r>
        <w:rPr>
          <w:shd w:val="clear"/>
        </w:rPr>
        <w:t xml:space="preserve">were denatured during the process of reaching the required </w:t>
      </w:r>
      <w:r>
        <w:rPr>
          <w:shd w:val="clear"/>
        </w:rPr>
        <w:t xml:space="preserve">temperature of 75 degrees for the water electrolysis </w:t>
      </w:r>
      <w:r>
        <w:rPr>
          <w:shd w:val="clear"/>
        </w:rPr>
        <w:t xml:space="preserve">reaction, but rather appeared to act as co-catalysts as no </w:t>
      </w:r>
      <w:r>
        <w:rPr>
          <w:shd w:val="clear"/>
        </w:rPr>
        <w:t xml:space="preserve">water electrolysis reaction occurred at all. FeCl</w:t>
      </w:r>
      <w:r>
        <w:rPr>
          <w:vertAlign w:val="subscript"/>
          <w:shd w:val="clear"/>
        </w:rPr>
        <w:t>2</w:t>
      </w:r>
      <w:r>
        <w:rPr>
          <w:shd w:val="clear"/>
        </w:rPr>
        <w:t xml:space="preserve"> was unable </w:t>
      </w:r>
      <w:r>
        <w:rPr>
          <w:shd w:val="clear"/>
        </w:rPr>
        <w:t xml:space="preserve">to be tested because it had been stored for a long time and </w:t>
      </w:r>
      <w:r>
        <w:rPr>
          <w:shd w:val="clear"/>
        </w:rPr>
        <w:t xml:space="preserve">reacted with oxygen and water vapor in the air to form </w:t>
      </w:r>
      <w:r>
        <w:rPr>
          <w:shd w:val="clear"/>
        </w:rPr>
        <w:t xml:space="preserve">other substances.</w:t>
      </w:r>
    </w:p>
    <w:p>
      <w:pPr>
        <w:pStyle w:val="PO155"/>
        <w:rPr>
          <w:shd w:val="clear"/>
        </w:rPr>
      </w:pPr>
      <w:r>
        <w:rPr>
          <w:shd w:val="clear"/>
        </w:rPr>
        <w:t xml:space="preserve"> Conclusion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I) Reaction rate differences among catalyst </w:t>
      </w:r>
      <w:r>
        <w:rPr>
          <w:b w:val="0"/>
          <w:shd w:val="clear"/>
        </w:rPr>
        <w:t xml:space="preserve">metals (Fe, Co, Cu, Ni)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-Reasons for the difference in reaction rate </w:t>
      </w:r>
      <w:r>
        <w:rPr>
          <w:b w:val="0"/>
          <w:shd w:val="clear"/>
        </w:rPr>
        <w:t xml:space="preserve">among catalyst metals include electronic </w:t>
      </w:r>
      <w:r>
        <w:rPr>
          <w:b w:val="0"/>
          <w:shd w:val="clear"/>
        </w:rPr>
        <w:t xml:space="preserve">structure and redox properties, adsorption </w:t>
      </w:r>
      <w:r>
        <w:rPr>
          <w:b w:val="0"/>
          <w:shd w:val="clear"/>
        </w:rPr>
        <w:t xml:space="preserve">energy, and surface structure. The unique </w:t>
      </w:r>
      <w:r>
        <w:rPr>
          <w:b w:val="0"/>
          <w:shd w:val="clear"/>
        </w:rPr>
        <w:t xml:space="preserve">electronic structure and redox properties of each </w:t>
      </w:r>
      <w:r>
        <w:rPr>
          <w:b w:val="0"/>
          <w:shd w:val="clear"/>
        </w:rPr>
        <w:t xml:space="preserve">metal affect the activation energy of the reaction </w:t>
      </w:r>
      <w:r>
        <w:rPr>
          <w:b w:val="0"/>
          <w:shd w:val="clear"/>
        </w:rPr>
        <w:t xml:space="preserve">on the catalyst surface, and certain metals can </w:t>
      </w:r>
      <w:r>
        <w:rPr>
          <w:b w:val="0"/>
          <w:shd w:val="clear"/>
        </w:rPr>
        <w:t xml:space="preserve">transfer electrons more efficiently, which can </w:t>
      </w:r>
      <w:r>
        <w:rPr>
          <w:b w:val="0"/>
          <w:shd w:val="clear"/>
        </w:rPr>
        <w:t xml:space="preserve">increase the reaction rate. The metal catalyst also </w:t>
      </w:r>
      <w:r>
        <w:rPr>
          <w:b w:val="0"/>
          <w:shd w:val="clear"/>
        </w:rPr>
        <w:t xml:space="preserve">determines how the reactants are adsorbed onto </w:t>
      </w:r>
      <w:r>
        <w:rPr>
          <w:b w:val="0"/>
          <w:shd w:val="clear"/>
        </w:rPr>
        <w:t xml:space="preserve">the surface. Certain metals can adsorb reactants </w:t>
      </w:r>
      <w:r>
        <w:rPr>
          <w:b w:val="0"/>
          <w:shd w:val="clear"/>
        </w:rPr>
        <w:t xml:space="preserve">more strongly or weakly, which affects the rate </w:t>
      </w:r>
      <w:r>
        <w:rPr>
          <w:b w:val="0"/>
          <w:shd w:val="clear"/>
        </w:rPr>
        <w:t xml:space="preserve">of the reaction. For example, the better a </w:t>
      </w:r>
      <w:r>
        <w:rPr>
          <w:b w:val="0"/>
          <w:shd w:val="clear"/>
        </w:rPr>
        <w:t xml:space="preserve">hydrogen molecule is adsorbed on a catalyst </w:t>
      </w:r>
      <w:r>
        <w:rPr>
          <w:b w:val="0"/>
          <w:shd w:val="clear"/>
        </w:rPr>
        <w:t xml:space="preserve">surface, the more effectively it can decompose </w:t>
      </w:r>
      <w:r>
        <w:rPr>
          <w:b w:val="0"/>
          <w:shd w:val="clear"/>
        </w:rPr>
        <w:t xml:space="preserve">and the better hydrogen gas is formed. The </w:t>
      </w:r>
      <w:r>
        <w:rPr>
          <w:b w:val="0"/>
          <w:shd w:val="clear"/>
        </w:rPr>
        <w:t xml:space="preserve">crystal structure or surface structure of the metal </w:t>
      </w:r>
      <w:r>
        <w:rPr>
          <w:b w:val="0"/>
          <w:shd w:val="clear"/>
        </w:rPr>
        <w:t xml:space="preserve">can affect its interaction with the reactants and </w:t>
      </w:r>
      <w:r>
        <w:rPr>
          <w:b w:val="0"/>
          <w:shd w:val="clear"/>
        </w:rPr>
        <w:t xml:space="preserve">thus affect the reaction rate.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Ni is relatively inexpensive and has high </w:t>
      </w:r>
      <w:r>
        <w:rPr>
          <w:b w:val="0"/>
          <w:shd w:val="clear"/>
        </w:rPr>
        <w:t xml:space="preserve">electrical conductivity, so it was predicted that it </w:t>
      </w:r>
      <w:r>
        <w:rPr>
          <w:b w:val="0"/>
          <w:shd w:val="clear"/>
        </w:rPr>
        <w:t xml:space="preserve">would perform well in the hydrogen evolution </w:t>
      </w:r>
      <w:r>
        <w:rPr>
          <w:b w:val="0"/>
          <w:shd w:val="clear"/>
        </w:rPr>
        <w:t xml:space="preserve">reaction. However, in the experiments, it did not </w:t>
      </w:r>
      <w:r>
        <w:rPr>
          <w:b w:val="0"/>
          <w:shd w:val="clear"/>
        </w:rPr>
        <w:t xml:space="preserve">work as a catalyst, which was predicted to be </w:t>
      </w:r>
      <w:r>
        <w:rPr>
          <w:b w:val="0"/>
          <w:shd w:val="clear"/>
        </w:rPr>
        <w:t xml:space="preserve">due to the following reasons 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1. the Ni surface may be oxidized or contain </w:t>
      </w:r>
      <w:r>
        <w:rPr>
          <w:b w:val="0"/>
          <w:shd w:val="clear"/>
        </w:rPr>
        <w:t xml:space="preserve">impurities. Oxides formed on the surface of Ni </w:t>
      </w:r>
      <w:r>
        <w:rPr>
          <w:b w:val="0"/>
          <w:shd w:val="clear"/>
        </w:rPr>
        <w:t xml:space="preserve">catalysts can block the activity of the catalyst and </w:t>
      </w:r>
      <w:r>
        <w:rPr>
          <w:b w:val="0"/>
          <w:shd w:val="clear"/>
        </w:rPr>
        <w:t xml:space="preserve">interfere with the hydrogen evolution reaction. </w:t>
      </w:r>
      <w:r>
        <w:rPr>
          <w:b w:val="0"/>
          <w:shd w:val="clear"/>
        </w:rPr>
        <w:t xml:space="preserve">Especially in air, Ni can be easily oxidized to form </w:t>
      </w:r>
      <w:r>
        <w:rPr>
          <w:b w:val="0"/>
          <w:shd w:val="clear"/>
        </w:rPr>
        <w:t xml:space="preserve">NiO, and this surface oxide seems to have </w:t>
      </w:r>
      <w:r>
        <w:rPr>
          <w:b w:val="0"/>
          <w:shd w:val="clear"/>
        </w:rPr>
        <w:t xml:space="preserve">reduced the catalyst efficiency.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2. Ni ions may not have been properly dissolved </w:t>
      </w:r>
      <w:r>
        <w:rPr>
          <w:b w:val="0"/>
          <w:shd w:val="clear"/>
        </w:rPr>
        <w:t xml:space="preserve">in alkaline aqueous solutions. This may cause the </w:t>
      </w:r>
      <w:r>
        <w:rPr>
          <w:b w:val="0"/>
          <w:shd w:val="clear"/>
        </w:rPr>
        <w:t xml:space="preserve">Ni catalyst to be unevenly distributed and </w:t>
      </w:r>
      <w:r>
        <w:rPr>
          <w:b w:val="0"/>
          <w:shd w:val="clear"/>
        </w:rPr>
        <w:t xml:space="preserve">reactions may occur only in certain areas. 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Possible solutions to this include pre-activating </w:t>
      </w:r>
      <w:r>
        <w:rPr>
          <w:b w:val="0"/>
          <w:shd w:val="clear"/>
        </w:rPr>
        <w:t xml:space="preserve">the surface of the Ni catalyst through a catalyst </w:t>
      </w:r>
      <w:r>
        <w:rPr>
          <w:b w:val="0"/>
          <w:shd w:val="clear"/>
        </w:rPr>
        <w:t xml:space="preserve">surface pretreatment process to remove </w:t>
      </w:r>
      <w:r>
        <w:rPr>
          <w:b w:val="0"/>
          <w:shd w:val="clear"/>
        </w:rPr>
        <w:t xml:space="preserve">impurities, or storing the catalyst prior to the </w:t>
      </w:r>
      <w:r>
        <w:rPr>
          <w:b w:val="0"/>
          <w:shd w:val="clear"/>
        </w:rPr>
        <w:t xml:space="preserve">experiment to prevent it from oxidizing and </w:t>
      </w:r>
      <w:r>
        <w:rPr>
          <w:b w:val="0"/>
          <w:shd w:val="clear"/>
        </w:rPr>
        <w:t xml:space="preserve">reducing it if necessary to keep it active.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Similar to Ni, Fe is another widely used catalyst </w:t>
      </w:r>
      <w:r>
        <w:rPr>
          <w:b w:val="0"/>
          <w:shd w:val="clear"/>
        </w:rPr>
        <w:t xml:space="preserve">that performs well due to its high electrical </w:t>
      </w:r>
      <w:r>
        <w:rPr>
          <w:b w:val="0"/>
          <w:shd w:val="clear"/>
        </w:rPr>
        <w:t xml:space="preserve">conductivity and ability to efficiently transfer </w:t>
      </w:r>
      <w:r>
        <w:rPr>
          <w:b w:val="0"/>
          <w:shd w:val="clear"/>
        </w:rPr>
        <w:t xml:space="preserve">electrons during water electrolysis. Fe catalysts in </w:t>
      </w:r>
      <w:r>
        <w:rPr>
          <w:b w:val="0"/>
          <w:shd w:val="clear"/>
        </w:rPr>
        <w:t xml:space="preserve">particular have the advantage of being very low </w:t>
      </w:r>
      <w:r>
        <w:rPr>
          <w:b w:val="0"/>
          <w:shd w:val="clear"/>
        </w:rPr>
        <w:t xml:space="preserve">cost and abundant compared to other metals, </w:t>
      </w:r>
      <w:r>
        <w:rPr>
          <w:b w:val="0"/>
          <w:shd w:val="clear"/>
        </w:rPr>
        <w:t xml:space="preserve">making them suitable for mass production. </w:t>
      </w:r>
      <w:r>
        <w:rPr>
          <w:b w:val="0"/>
          <w:shd w:val="clear"/>
        </w:rPr>
        <w:t xml:space="preserve">However, they can have corrosion problems and </w:t>
      </w:r>
      <w:r>
        <w:rPr>
          <w:b w:val="0"/>
          <w:shd w:val="clear"/>
        </w:rPr>
        <w:t xml:space="preserve">their stability in long-term water electrolysis </w:t>
      </w:r>
      <w:r>
        <w:rPr>
          <w:b w:val="0"/>
          <w:shd w:val="clear"/>
        </w:rPr>
        <w:t xml:space="preserve">needs to be considered. 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Co and Cu can react with oxygen to form oxides. </w:t>
      </w:r>
      <w:r>
        <w:rPr>
          <w:b w:val="0"/>
          <w:shd w:val="clear"/>
        </w:rPr>
        <w:t xml:space="preserve">This oxidation reaction can be accelerated, </w:t>
      </w:r>
      <w:r>
        <w:rPr>
          <w:b w:val="0"/>
          <w:shd w:val="clear"/>
        </w:rPr>
        <w:t xml:space="preserve">especially in high-temperature environments. In </w:t>
      </w:r>
      <w:r>
        <w:rPr>
          <w:b w:val="0"/>
          <w:shd w:val="clear"/>
        </w:rPr>
        <w:t xml:space="preserve">addition, copper hydroxide and cobalt hydroxide </w:t>
      </w:r>
      <w:r>
        <w:rPr>
          <w:b w:val="0"/>
          <w:shd w:val="clear"/>
        </w:rPr>
        <w:t xml:space="preserve">have lower solubility compared to Fe and Ni </w:t>
      </w:r>
      <w:r>
        <w:rPr>
          <w:b w:val="0"/>
          <w:shd w:val="clear"/>
        </w:rPr>
        <w:t xml:space="preserve">hydroxide, resulting in a smaller solubility product, </w:t>
      </w:r>
      <w:r>
        <w:rPr>
          <w:b w:val="0"/>
          <w:shd w:val="clear"/>
        </w:rPr>
        <w:t xml:space="preserve">so Cu and Co can precipitate as hydroxides in </w:t>
      </w:r>
      <w:r>
        <w:rPr>
          <w:b w:val="0"/>
          <w:shd w:val="clear"/>
        </w:rPr>
        <w:t xml:space="preserve">aqueous NaOH solutions and lose their activity as </w:t>
      </w:r>
      <w:r>
        <w:rPr>
          <w:b w:val="0"/>
          <w:shd w:val="clear"/>
        </w:rPr>
        <w:t xml:space="preserve">catalysts. Improvements include controlling the </w:t>
      </w:r>
      <w:r>
        <w:rPr>
          <w:b w:val="0"/>
          <w:shd w:val="clear"/>
        </w:rPr>
        <w:t xml:space="preserve">NaOH concentration and pH to minimize </w:t>
      </w:r>
      <w:r>
        <w:rPr>
          <w:b w:val="0"/>
          <w:shd w:val="clear"/>
        </w:rPr>
        <w:t xml:space="preserve">hydroxide formation and conducting experiments </w:t>
      </w:r>
      <w:r>
        <w:rPr>
          <w:b w:val="0"/>
          <w:shd w:val="clear"/>
        </w:rPr>
        <w:t xml:space="preserve">under inert conditions (Ar, N) to prevent </w:t>
      </w:r>
      <w:r>
        <w:rPr>
          <w:b w:val="0"/>
          <w:shd w:val="clear"/>
        </w:rPr>
        <w:t>oxidation.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In conclusion, Fe is predicted to be the most </w:t>
      </w:r>
      <w:r>
        <w:rPr>
          <w:b w:val="0"/>
          <w:shd w:val="clear"/>
        </w:rPr>
        <w:t xml:space="preserve">suitable catalyst metal for alkaline water </w:t>
      </w:r>
      <w:r>
        <w:rPr>
          <w:b w:val="0"/>
          <w:shd w:val="clear"/>
        </w:rPr>
        <w:t xml:space="preserve">electrolysis due to its affordability, high electrical </w:t>
      </w:r>
      <w:r>
        <w:rPr>
          <w:b w:val="0"/>
          <w:shd w:val="clear"/>
        </w:rPr>
        <w:t xml:space="preserve">conductivity, catalytic activity, and durability.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II) Reaction rate differences depending on the </w:t>
      </w:r>
      <w:r>
        <w:rPr>
          <w:b w:val="0"/>
          <w:shd w:val="clear"/>
        </w:rPr>
        <w:t xml:space="preserve">ions in the catalyst (sulfate, chloride)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Since FeCl2 is not available in the experiment, it </w:t>
      </w:r>
      <w:r>
        <w:rPr>
          <w:b w:val="0"/>
          <w:shd w:val="clear"/>
        </w:rPr>
        <w:t xml:space="preserve">is not possible to predict the reaction rate </w:t>
      </w:r>
      <w:r>
        <w:rPr>
          <w:b w:val="0"/>
          <w:shd w:val="clear"/>
        </w:rPr>
        <w:t xml:space="preserve">difference based on the experimental results, but </w:t>
      </w:r>
      <w:r>
        <w:rPr>
          <w:b w:val="0"/>
          <w:shd w:val="clear"/>
        </w:rPr>
        <w:t xml:space="preserve">the theoretical explanation is as follows.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1. Chloride ions have a single charge and high </w:t>
      </w:r>
      <w:r>
        <w:rPr>
          <w:b w:val="0"/>
          <w:shd w:val="clear"/>
        </w:rPr>
        <w:t xml:space="preserve">mobility. The high mobility increases the rate of </w:t>
      </w:r>
      <w:r>
        <w:rPr>
          <w:b w:val="0"/>
          <w:shd w:val="clear"/>
        </w:rPr>
        <w:t xml:space="preserve">charge transfer and can have a positive effect on </w:t>
      </w:r>
      <w:r>
        <w:rPr>
          <w:b w:val="0"/>
          <w:shd w:val="clear"/>
        </w:rPr>
        <w:t xml:space="preserve">the reaction rate. On the other hand, sulfate ions </w:t>
      </w:r>
      <w:r>
        <w:rPr>
          <w:b w:val="0"/>
          <w:shd w:val="clear"/>
        </w:rPr>
        <w:t xml:space="preserve">have a double charge and relatively low mobility. </w:t>
      </w:r>
      <w:r>
        <w:rPr>
          <w:b w:val="0"/>
          <w:shd w:val="clear"/>
        </w:rPr>
        <w:t xml:space="preserve">This means that the charge transfer rate is slower </w:t>
      </w:r>
      <w:r>
        <w:rPr>
          <w:b w:val="0"/>
          <w:shd w:val="clear"/>
        </w:rPr>
        <w:t xml:space="preserve">than that of chloride ions. 2.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2. Chloride ions can increase catalytic activity </w:t>
      </w:r>
      <w:r>
        <w:rPr>
          <w:b w:val="0"/>
          <w:shd w:val="clear"/>
        </w:rPr>
        <w:t xml:space="preserve">due to their high adsorption and reactivity on the </w:t>
      </w:r>
      <w:r>
        <w:rPr>
          <w:b w:val="0"/>
          <w:shd w:val="clear"/>
        </w:rPr>
        <w:t xml:space="preserve">catalyst surface. However, sulfate ions have a </w:t>
      </w:r>
      <w:r>
        <w:rPr>
          <w:b w:val="0"/>
          <w:shd w:val="clear"/>
        </w:rPr>
        <w:t xml:space="preserve">larger ion size and higher charge density, which </w:t>
      </w:r>
      <w:r>
        <w:rPr>
          <w:b w:val="0"/>
          <w:shd w:val="clear"/>
        </w:rPr>
        <w:t xml:space="preserve">can make their adsorption and reaction on the </w:t>
      </w:r>
      <w:r>
        <w:rPr>
          <w:b w:val="0"/>
          <w:shd w:val="clear"/>
        </w:rPr>
        <w:t xml:space="preserve">catalyst surface more complicated. 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Chloride ions will be more favorable to the </w:t>
      </w:r>
      <w:r>
        <w:rPr>
          <w:b w:val="0"/>
          <w:shd w:val="clear"/>
        </w:rPr>
        <w:t xml:space="preserve">reaction than sulfate ions for the following </w:t>
      </w:r>
      <w:r>
        <w:rPr>
          <w:b w:val="0"/>
          <w:shd w:val="clear"/>
        </w:rPr>
        <w:t>reasons.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  III) Reaction rate differences depending on the </w:t>
      </w:r>
      <w:r>
        <w:rPr>
          <w:b w:val="0"/>
          <w:shd w:val="clear"/>
        </w:rPr>
        <w:t xml:space="preserve">hydrogen of the catalyst metal (divalent iron, </w:t>
      </w:r>
      <w:r>
        <w:rPr>
          <w:b w:val="0"/>
          <w:shd w:val="clear"/>
        </w:rPr>
        <w:t xml:space="preserve">trivalent iron)</w:t>
      </w:r>
    </w:p>
    <w:p>
      <w:pPr>
        <w:pStyle w:val="PO155"/>
        <w:ind w:firstLine="105"/>
        <w:rPr>
          <w:b w:val="0"/>
          <w:shd w:val="clear"/>
          <w:highlight w:val="yellow"/>
        </w:rPr>
      </w:pPr>
      <w:r>
        <w:rPr>
          <w:b w:val="0"/>
          <w:shd w:val="clear"/>
        </w:rPr>
        <w:t xml:space="preserve">Ferrous sulfate and ferrous sulfate have the </w:t>
      </w:r>
      <w:r>
        <w:rPr>
          <w:b w:val="0"/>
          <w:shd w:val="clear"/>
        </w:rPr>
        <w:t xml:space="preserve">same composition, only the hydrogen of the iron </w:t>
      </w:r>
      <w:r>
        <w:rPr>
          <w:b w:val="0"/>
          <w:shd w:val="clear"/>
        </w:rPr>
        <w:t xml:space="preserve">is different. However, in the water electrolysis </w:t>
      </w:r>
      <w:r>
        <w:rPr>
          <w:b w:val="0"/>
          <w:shd w:val="clear"/>
        </w:rPr>
        <w:t>reaction</w:t>
      </w:r>
      <w:r>
        <w:rPr>
          <w:b w:val="0"/>
          <w:color w:val="444444"/>
          <w:shd w:val="clear"/>
          <w:rFonts w:ascii="Arial" w:hAnsi="Arial" w:cs="Arial"/>
        </w:rPr>
        <w:t xml:space="preserve"> </w:t>
      </w:r>
      <w:r>
        <w:rPr>
          <w:b w:val="0"/>
          <w:color w:val="444444"/>
          <w:sz w:val="20"/>
          <w:szCs w:val="20"/>
          <w:shd w:val="clear"/>
          <w:rFonts w:ascii="Times New Roman" w:hAnsi="Times New Roman"/>
        </w:rPr>
        <w:t xml:space="preserve">Iron(III) sulfate n-hydrate</w:t>
      </w:r>
      <w:r>
        <w:rPr>
          <w:b w:val="0"/>
          <w:shd w:val="clear"/>
        </w:rPr>
        <w:t xml:space="preserve"> produces about </w:t>
      </w:r>
      <w:r>
        <w:rPr>
          <w:b w:val="0"/>
          <w:shd w:val="clear"/>
        </w:rPr>
        <w:t xml:space="preserve">2.9 times more gas than </w:t>
      </w:r>
      <w:r>
        <w:rPr>
          <w:b w:val="0"/>
          <w:color w:val="444444"/>
          <w:sz w:val="20"/>
          <w:szCs w:val="20"/>
          <w:shd w:val="clear"/>
          <w:rFonts w:ascii="Times New Roman" w:hAnsi="Times New Roman"/>
        </w:rPr>
        <w:t xml:space="preserve">Iron(II) Sulfate Heptahydrate</w:t>
      </w:r>
      <w:r>
        <w:rPr>
          <w:b w:val="0"/>
          <w:sz w:val="20"/>
          <w:szCs w:val="20"/>
          <w:shd w:val="clear"/>
          <w:rFonts w:ascii="Times New Roman" w:hAnsi="Times New Roman"/>
        </w:rPr>
        <w:t xml:space="preserve">, </w:t>
      </w:r>
      <w:r>
        <w:rPr>
          <w:b w:val="0"/>
          <w:shd w:val="clear"/>
        </w:rPr>
        <w:t xml:space="preserve">which is due to the lattice enthalpy of the two </w:t>
      </w:r>
      <w:r>
        <w:rPr>
          <w:b w:val="0"/>
          <w:shd w:val="clear"/>
        </w:rPr>
        <w:t xml:space="preserve">catalysts. The dissociation enthalpy of </w:t>
      </w:r>
      <w:r>
        <w:rPr>
          <w:b w:val="0"/>
          <w:color w:val="444444"/>
          <w:sz w:val="20"/>
          <w:szCs w:val="20"/>
          <w:shd w:val="clear"/>
          <w:rFonts w:ascii="Times New Roman" w:hAnsi="Times New Roman"/>
        </w:rPr>
        <w:t xml:space="preserve">Iron(III) </w:t>
      </w:r>
      <w:r>
        <w:rPr>
          <w:b w:val="0"/>
          <w:color w:val="444444"/>
          <w:sz w:val="20"/>
          <w:szCs w:val="20"/>
          <w:shd w:val="clear"/>
          <w:rFonts w:ascii="Times New Roman" w:hAnsi="Times New Roman"/>
        </w:rPr>
        <w:t xml:space="preserve">sulfate n-hydrate</w:t>
      </w:r>
      <w:r>
        <w:rPr>
          <w:b w:val="0"/>
          <w:shd w:val="clear"/>
        </w:rPr>
        <w:t xml:space="preserve"> is -849.3 kJ/mol, which is larger </w:t>
      </w:r>
      <w:r>
        <w:rPr>
          <w:b w:val="0"/>
          <w:shd w:val="clear"/>
        </w:rPr>
        <w:t xml:space="preserve">than the dissociation enthalpy of ferrous sulfate </w:t>
      </w:r>
      <w:r>
        <w:rPr>
          <w:b w:val="0"/>
          <w:shd w:val="clear"/>
        </w:rPr>
        <w:t xml:space="preserve">of -69.2 kJ/mol, so the value of energy available </w:t>
      </w:r>
      <w:r>
        <w:rPr>
          <w:b w:val="0"/>
          <w:shd w:val="clear"/>
        </w:rPr>
        <w:t xml:space="preserve">for the entire reaction after dissociation will be </w:t>
      </w:r>
      <w:r>
        <w:rPr>
          <w:b w:val="0"/>
          <w:shd w:val="clear"/>
        </w:rPr>
        <w:t xml:space="preserve">larger. As the value of energy available is larger, </w:t>
      </w:r>
      <w:r>
        <w:rPr>
          <w:b w:val="0"/>
          <w:shd w:val="clear"/>
        </w:rPr>
        <w:t xml:space="preserve">there will be more intermolecular collisions and </w:t>
      </w:r>
      <w:r>
        <w:rPr>
          <w:b w:val="0"/>
          <w:shd w:val="clear"/>
        </w:rPr>
        <w:t xml:space="preserve">the reaction rate of water electrolysis will be </w:t>
      </w:r>
      <w:r>
        <w:rPr>
          <w:b w:val="0"/>
          <w:shd w:val="clear"/>
        </w:rPr>
        <w:t xml:space="preserve">faster in </w:t>
      </w:r>
      <w:r>
        <w:rPr>
          <w:b w:val="0"/>
          <w:color w:val="444444"/>
          <w:sz w:val="20"/>
          <w:szCs w:val="20"/>
          <w:shd w:val="clear"/>
          <w:rFonts w:ascii="Times New Roman" w:hAnsi="Times New Roman"/>
        </w:rPr>
        <w:t xml:space="preserve">Iron(III) sulfate n-hydrate</w:t>
      </w:r>
      <w:r>
        <w:rPr>
          <w:b w:val="0"/>
          <w:shd w:val="clear"/>
        </w:rPr>
        <w:t xml:space="preserve">. Therefore, the </w:t>
      </w:r>
      <w:r>
        <w:rPr>
          <w:b w:val="0"/>
          <w:shd w:val="clear"/>
        </w:rPr>
        <w:t xml:space="preserve">larger the number of catalyst metals, the more </w:t>
      </w:r>
      <w:r>
        <w:rPr>
          <w:b w:val="0"/>
          <w:shd w:val="clear"/>
        </w:rPr>
        <w:t xml:space="preserve">favorable the water electrolysis reaction will be.</w:t>
      </w:r>
    </w:p>
    <w:p>
      <w:pPr>
        <w:pStyle w:val="PO155"/>
        <w:rPr>
          <w:shd w:val="clear"/>
          <w:highlight w:val="yellow"/>
        </w:rPr>
      </w:pPr>
    </w:p>
    <w:p>
      <w:pPr>
        <w:pStyle w:val="PO155"/>
        <w:rPr>
          <w:shd w:val="clear"/>
        </w:rPr>
      </w:pPr>
    </w:p>
    <w:p>
      <w:pPr>
        <w:pStyle w:val="PO155"/>
        <w:rPr>
          <w:shd w:val="clear"/>
        </w:rPr>
      </w:pPr>
      <w:r>
        <w:rPr>
          <w:shd w:val="clear"/>
        </w:rPr>
        <w:t>[Suggestions]</w:t>
      </w:r>
    </w:p>
    <w:p>
      <w:pPr>
        <w:pStyle w:val="PO155"/>
        <w:numPr>
          <w:numId w:val="10"/>
          <w:ilvl w:val="0"/>
        </w:numPr>
        <w:rPr>
          <w:b w:val="0"/>
          <w:shd w:val="clear"/>
          <w:rFonts w:hint="eastAsia"/>
        </w:rPr>
      </w:pPr>
      <w:r>
        <w:rPr>
          <w:b w:val="0"/>
          <w:shd w:val="clear"/>
        </w:rPr>
        <w:t xml:space="preserve">The catalysts used in the experiments can </w:t>
      </w:r>
      <w:r>
        <w:rPr>
          <w:b w:val="0"/>
          <w:shd w:val="clear"/>
        </w:rPr>
        <w:t xml:space="preserve">be compared with organometallic </w:t>
      </w:r>
      <w:r>
        <w:rPr>
          <w:b w:val="0"/>
          <w:shd w:val="clear"/>
        </w:rPr>
        <w:t xml:space="preserve">compounds such as ferrous gluconate as an </w:t>
      </w:r>
      <w:r>
        <w:rPr>
          <w:b w:val="0"/>
          <w:shd w:val="clear"/>
        </w:rPr>
        <w:t xml:space="preserve">inorganic salt agent to find a better catalyst. </w:t>
      </w:r>
      <w:r>
        <w:rPr>
          <w:b w:val="0"/>
          <w:shd w:val="clear"/>
        </w:rPr>
        <w:t xml:space="preserve">Subsequently, the alkaline water electrolysis </w:t>
      </w:r>
      <w:r>
        <w:rPr>
          <w:b w:val="0"/>
          <w:shd w:val="clear"/>
        </w:rPr>
        <w:t xml:space="preserve">process can be developed through the </w:t>
      </w:r>
      <w:r>
        <w:rPr>
          <w:b w:val="0"/>
          <w:shd w:val="clear"/>
        </w:rPr>
        <w:t xml:space="preserve">experimental results using organometallic </w:t>
      </w:r>
      <w:r>
        <w:rPr>
          <w:b w:val="0"/>
          <w:shd w:val="clear"/>
        </w:rPr>
        <w:t xml:space="preserve">compounds, which are aggregates of </w:t>
      </w:r>
      <w:r>
        <w:rPr>
          <w:b w:val="0"/>
          <w:shd w:val="clear"/>
        </w:rPr>
        <w:t xml:space="preserve">organics and metals that have recently </w:t>
      </w:r>
      <w:r>
        <w:rPr>
          <w:b w:val="0"/>
          <w:shd w:val="clear"/>
        </w:rPr>
        <w:t xml:space="preserve">attracted attention as catalysts rather than </w:t>
      </w:r>
      <w:r>
        <w:rPr>
          <w:b w:val="0"/>
          <w:shd w:val="clear"/>
        </w:rPr>
        <w:t xml:space="preserve">simple metallic catalysts.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 </w:t>
      </w:r>
    </w:p>
    <w:p>
      <w:pPr>
        <w:pStyle w:val="PO155"/>
        <w:numPr>
          <w:numId w:val="10"/>
          <w:ilvl w:val="0"/>
        </w:numPr>
        <w:rPr>
          <w:b w:val="0"/>
          <w:shd w:val="clear"/>
        </w:rPr>
      </w:pPr>
      <w:r>
        <w:rPr>
          <w:b w:val="0"/>
          <w:shd w:val="clear"/>
        </w:rPr>
        <w:t xml:space="preserve"> There are quite a few catalysts that have </w:t>
      </w:r>
      <w:r>
        <w:rPr>
          <w:b w:val="0"/>
          <w:shd w:val="clear"/>
        </w:rPr>
        <w:t xml:space="preserve">been compared only in theory, but it is </w:t>
      </w:r>
      <w:r>
        <w:rPr>
          <w:b w:val="0"/>
          <w:shd w:val="clear"/>
        </w:rPr>
        <w:t xml:space="preserve">necessary to use them in experiments </w:t>
      </w:r>
      <w:r>
        <w:rPr>
          <w:b w:val="0"/>
          <w:shd w:val="clear"/>
        </w:rPr>
        <w:t xml:space="preserve">through pretreatment or redox reactions, or </w:t>
      </w:r>
      <w:r>
        <w:rPr>
          <w:b w:val="0"/>
          <w:shd w:val="clear"/>
        </w:rPr>
        <w:t xml:space="preserve">purchase unmodified catalysts to see if the </w:t>
      </w:r>
      <w:r>
        <w:rPr>
          <w:b w:val="0"/>
          <w:shd w:val="clear"/>
        </w:rPr>
        <w:t xml:space="preserve">theory and practice tend to be similar.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numPr>
          <w:numId w:val="10"/>
          <w:ilvl w:val="0"/>
        </w:numPr>
        <w:rPr>
          <w:b w:val="0"/>
          <w:shd w:val="clear"/>
          <w:rFonts w:hint="eastAsia"/>
        </w:rPr>
      </w:pPr>
      <w:r>
        <w:rPr>
          <w:b w:val="0"/>
          <w:shd w:val="clear"/>
        </w:rPr>
        <w:t xml:space="preserve">If the intermediates of the catalytic reaction </w:t>
      </w:r>
      <w:r>
        <w:rPr>
          <w:b w:val="0"/>
          <w:shd w:val="clear"/>
        </w:rPr>
        <w:t xml:space="preserve">can be identified, the catalytic reaction can </w:t>
      </w:r>
      <w:r>
        <w:rPr>
          <w:b w:val="0"/>
          <w:shd w:val="clear"/>
        </w:rPr>
        <w:t xml:space="preserve">be optimized by studying the properties of </w:t>
      </w:r>
      <w:r>
        <w:rPr>
          <w:b w:val="0"/>
          <w:shd w:val="clear"/>
        </w:rPr>
        <w:t xml:space="preserve">the material. Therefore, it is necessary to </w:t>
      </w:r>
      <w:r>
        <w:rPr>
          <w:b w:val="0"/>
          <w:shd w:val="clear"/>
        </w:rPr>
        <w:t xml:space="preserve">know the exact process of the catalytic </w:t>
      </w:r>
      <w:r>
        <w:rPr>
          <w:b w:val="0"/>
          <w:shd w:val="clear"/>
        </w:rPr>
        <w:t>reaction..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3"/>
        <w:rPr>
          <w:shd w:val="clear"/>
          <w:rFonts w:hint="eastAsia"/>
        </w:rPr>
      </w:pPr>
      <w:r>
        <w:rPr>
          <w:shd w:val="clear"/>
          <w:rFonts w:hint="eastAsia"/>
        </w:rPr>
        <w:t>Discussion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>[Production].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During the introduction of AEC (Alkaline </w:t>
      </w:r>
      <w:r>
        <w:rPr>
          <w:b w:val="0"/>
          <w:shd w:val="clear"/>
        </w:rPr>
        <w:t xml:space="preserve">Electrolysis Cell), it was found that it is suitable </w:t>
      </w:r>
      <w:r>
        <w:rPr>
          <w:b w:val="0"/>
          <w:shd w:val="clear"/>
        </w:rPr>
        <w:t xml:space="preserve">for producing hydrogen in large quantities due to </w:t>
      </w:r>
      <w:r>
        <w:rPr>
          <w:b w:val="0"/>
          <w:shd w:val="clear"/>
        </w:rPr>
        <w:t xml:space="preserve">its low initial investment, low power generation </w:t>
      </w:r>
      <w:r>
        <w:rPr>
          <w:b w:val="0"/>
          <w:shd w:val="clear"/>
        </w:rPr>
        <w:t xml:space="preserve">cost, simplicity and durability. We thought that if </w:t>
      </w:r>
      <w:r>
        <w:rPr>
          <w:b w:val="0"/>
          <w:shd w:val="clear"/>
        </w:rPr>
        <w:t xml:space="preserve">hydrogen is produced relatively cheaply in </w:t>
      </w:r>
      <w:r>
        <w:rPr>
          <w:b w:val="0"/>
          <w:shd w:val="clear"/>
        </w:rPr>
        <w:t xml:space="preserve">country A, the transaction price will be relatively </w:t>
      </w:r>
      <w:r>
        <w:rPr>
          <w:b w:val="0"/>
          <w:shd w:val="clear"/>
        </w:rPr>
        <w:t xml:space="preserve">low because the unit cost of power generation </w:t>
      </w:r>
      <w:r>
        <w:rPr>
          <w:b w:val="0"/>
          <w:shd w:val="clear"/>
        </w:rPr>
        <w:t xml:space="preserve">will be lower than other water electrolysis. This </w:t>
      </w:r>
      <w:r>
        <w:rPr>
          <w:b w:val="0"/>
          <w:shd w:val="clear"/>
        </w:rPr>
        <w:t xml:space="preserve">will have a positive impact on the continuous </w:t>
      </w:r>
      <w:r>
        <w:rPr>
          <w:b w:val="0"/>
          <w:shd w:val="clear"/>
        </w:rPr>
        <w:t xml:space="preserve">hydrogen value chain between country A and </w:t>
      </w:r>
      <w:r>
        <w:rPr>
          <w:b w:val="0"/>
          <w:shd w:val="clear"/>
        </w:rPr>
        <w:t xml:space="preserve">country B. Of course, AEC has the disadvantage </w:t>
      </w:r>
      <w:r>
        <w:rPr>
          <w:b w:val="0"/>
          <w:shd w:val="clear"/>
        </w:rPr>
        <w:t xml:space="preserve">that it is susceptible to corrosion and requires a </w:t>
      </w:r>
      <w:r>
        <w:rPr>
          <w:b w:val="0"/>
          <w:shd w:val="clear"/>
        </w:rPr>
        <w:t xml:space="preserve">continuous supply of electrolyte to maintain the </w:t>
      </w:r>
      <w:r>
        <w:rPr>
          <w:b w:val="0"/>
          <w:shd w:val="clear"/>
        </w:rPr>
        <w:t xml:space="preserve">electrolyte concentration at 35%. However, we </w:t>
      </w:r>
      <w:r>
        <w:rPr>
          <w:b w:val="0"/>
          <w:shd w:val="clear"/>
        </w:rPr>
        <w:t xml:space="preserve">believe that the corrosion susceptibility can be </w:t>
      </w:r>
      <w:r>
        <w:rPr>
          <w:b w:val="0"/>
          <w:shd w:val="clear"/>
        </w:rPr>
        <w:t xml:space="preserve">solved by using non-precious metal catalysts and </w:t>
      </w:r>
      <w:r>
        <w:rPr>
          <w:b w:val="0"/>
          <w:shd w:val="clear"/>
        </w:rPr>
        <w:t xml:space="preserve">the simple structure of AEC, and the electrolyte </w:t>
      </w:r>
      <w:r>
        <w:rPr>
          <w:b w:val="0"/>
          <w:shd w:val="clear"/>
        </w:rPr>
        <w:t xml:space="preserve">supply is a problem that can be compensated by </w:t>
      </w:r>
      <w:r>
        <w:rPr>
          <w:b w:val="0"/>
          <w:shd w:val="clear"/>
        </w:rPr>
        <w:t xml:space="preserve">further development. On this basis, we propose </w:t>
      </w:r>
      <w:r>
        <w:rPr>
          <w:b w:val="0"/>
          <w:shd w:val="clear"/>
        </w:rPr>
        <w:t xml:space="preserve">to use AEC for green hydrogen production.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>[Storage]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There are many obstacles to transporting </w:t>
      </w:r>
      <w:r>
        <w:rPr>
          <w:b w:val="0"/>
          <w:shd w:val="clear"/>
        </w:rPr>
        <w:t xml:space="preserve">hydrogen from country A to country B. In </w:t>
      </w:r>
      <w:r>
        <w:rPr>
          <w:b w:val="0"/>
          <w:shd w:val="clear"/>
        </w:rPr>
        <w:t xml:space="preserve">particular, there is an ocean between the two </w:t>
      </w:r>
      <w:r>
        <w:rPr>
          <w:b w:val="0"/>
          <w:shd w:val="clear"/>
        </w:rPr>
        <w:t xml:space="preserve">countries, making it highly impractical to use </w:t>
      </w:r>
      <w:r>
        <w:rPr>
          <w:b w:val="0"/>
          <w:shd w:val="clear"/>
        </w:rPr>
        <w:t xml:space="preserve">land-based transportation methods such as </w:t>
      </w:r>
      <w:r>
        <w:rPr>
          <w:b w:val="0"/>
          <w:shd w:val="clear"/>
        </w:rPr>
        <w:t xml:space="preserve">railways, trucks, and pipelines.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Several methods have been proposed for </w:t>
      </w:r>
      <w:r>
        <w:rPr>
          <w:b w:val="0"/>
          <w:shd w:val="clear"/>
        </w:rPr>
        <w:t xml:space="preserve">transporting hydrogen, but each has its </w:t>
      </w:r>
      <w:r>
        <w:rPr>
          <w:b w:val="0"/>
          <w:shd w:val="clear"/>
        </w:rPr>
        <w:t xml:space="preserve">drawbacks. Liquefied hydrogen or hydrogen </w:t>
      </w:r>
      <w:r>
        <w:rPr>
          <w:b w:val="0"/>
          <w:shd w:val="clear"/>
        </w:rPr>
        <w:t xml:space="preserve">compression has high social acceptance but </w:t>
      </w:r>
      <w:r>
        <w:rPr>
          <w:b w:val="0"/>
          <w:shd w:val="clear"/>
        </w:rPr>
        <w:t xml:space="preserve">requires technological development. Storage </w:t>
      </w:r>
      <w:r>
        <w:rPr>
          <w:b w:val="0"/>
          <w:shd w:val="clear"/>
        </w:rPr>
        <w:t xml:space="preserve">methods using methanol, ammonia, and </w:t>
      </w:r>
      <w:r>
        <w:rPr>
          <w:b w:val="0"/>
          <w:shd w:val="clear"/>
        </w:rPr>
        <w:t xml:space="preserve">hydrogen carriers can produce carbon dioxide </w:t>
      </w:r>
      <w:r>
        <w:rPr>
          <w:b w:val="0"/>
          <w:shd w:val="clear"/>
        </w:rPr>
        <w:t xml:space="preserve">(CO2) and nitrogen oxide (NOx) emissions and </w:t>
      </w:r>
      <w:r>
        <w:rPr>
          <w:b w:val="0"/>
          <w:shd w:val="clear"/>
        </w:rPr>
        <w:t xml:space="preserve">are expensive.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Therefore, liquid organic hydrogen carriers </w:t>
      </w:r>
      <w:r>
        <w:rPr>
          <w:b w:val="0"/>
          <w:shd w:val="clear"/>
        </w:rPr>
        <w:t xml:space="preserve">(LOHCs) have been considered as a suitable way </w:t>
      </w:r>
      <w:r>
        <w:rPr>
          <w:b w:val="0"/>
          <w:shd w:val="clear"/>
        </w:rPr>
        <w:t xml:space="preserve">to transport hydrogen. LOHCs are liquids that </w:t>
      </w:r>
      <w:r>
        <w:rPr>
          <w:b w:val="0"/>
          <w:shd w:val="clear"/>
        </w:rPr>
        <w:t xml:space="preserve">reversibly store and release hydrogen through the </w:t>
      </w:r>
      <w:r>
        <w:rPr>
          <w:b w:val="0"/>
          <w:shd w:val="clear"/>
        </w:rPr>
        <w:t xml:space="preserve">processes of hydrogenation and </w:t>
      </w:r>
      <w:r>
        <w:rPr>
          <w:b w:val="0"/>
          <w:shd w:val="clear"/>
        </w:rPr>
        <w:t xml:space="preserve">dehydrogenation. Hydrogenation is the addition </w:t>
      </w:r>
      <w:r>
        <w:rPr>
          <w:b w:val="0"/>
          <w:shd w:val="clear"/>
        </w:rPr>
        <w:t xml:space="preserve">of hydrogen to unsaturated organic compounds </w:t>
      </w:r>
      <w:r>
        <w:rPr>
          <w:b w:val="0"/>
          <w:shd w:val="clear"/>
        </w:rPr>
        <w:t xml:space="preserve">to synthesize them into saturated organic </w:t>
      </w:r>
      <w:r>
        <w:rPr>
          <w:b w:val="0"/>
          <w:shd w:val="clear"/>
        </w:rPr>
        <w:t xml:space="preserve">compounds, while dehydrogenation is the </w:t>
      </w:r>
      <w:r>
        <w:rPr>
          <w:b w:val="0"/>
          <w:shd w:val="clear"/>
        </w:rPr>
        <w:t xml:space="preserve">addition of hydrogen to unsaturated organic </w:t>
      </w:r>
      <w:r>
        <w:rPr>
          <w:b w:val="0"/>
          <w:shd w:val="clear"/>
        </w:rPr>
        <w:t xml:space="preserve">compounds to synthesize them into saturated </w:t>
      </w:r>
      <w:r>
        <w:rPr>
          <w:b w:val="0"/>
          <w:shd w:val="clear"/>
        </w:rPr>
        <w:t xml:space="preserve">organic compounds.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>[Use]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Country B lacks infrastructure and has very few </w:t>
      </w:r>
      <w:r>
        <w:rPr>
          <w:b w:val="0"/>
          <w:shd w:val="clear"/>
        </w:rPr>
        <w:t xml:space="preserve">renewable energy sources. If green hydrogen is </w:t>
      </w:r>
      <w:r>
        <w:rPr>
          <w:b w:val="0"/>
          <w:shd w:val="clear"/>
        </w:rPr>
        <w:t xml:space="preserve">produced, stored, and transported in country A </w:t>
      </w:r>
      <w:r>
        <w:rPr>
          <w:b w:val="0"/>
          <w:shd w:val="clear"/>
        </w:rPr>
        <w:t xml:space="preserve">and used to generate electricity in country B, a </w:t>
      </w:r>
      <w:r>
        <w:rPr>
          <w:b w:val="0"/>
          <w:shd w:val="clear"/>
        </w:rPr>
        <w:t xml:space="preserve">value chain can be created that consumes </w:t>
      </w:r>
      <w:r>
        <w:rPr>
          <w:b w:val="0"/>
          <w:shd w:val="clear"/>
        </w:rPr>
        <w:t xml:space="preserve">hydrogen while reducing carbon dioxide </w:t>
      </w:r>
      <w:r>
        <w:rPr>
          <w:b w:val="0"/>
          <w:shd w:val="clear"/>
        </w:rPr>
        <w:t xml:space="preserve">emissions. There are two ways to use hydrogen: </w:t>
      </w:r>
      <w:r>
        <w:rPr>
          <w:b w:val="0"/>
          <w:shd w:val="clear"/>
        </w:rPr>
        <w:t xml:space="preserve">fuel cells and turbines, and the characteristics of </w:t>
      </w:r>
      <w:r>
        <w:rPr>
          <w:b w:val="0"/>
          <w:shd w:val="clear"/>
        </w:rPr>
        <w:t xml:space="preserve">each method will greatly affect the infrastructure </w:t>
      </w:r>
      <w:r>
        <w:rPr>
          <w:b w:val="0"/>
          <w:shd w:val="clear"/>
        </w:rPr>
        <w:t xml:space="preserve">and value chain in country B. Fuel cells may lead </w:t>
      </w:r>
      <w:r>
        <w:rPr>
          <w:b w:val="0"/>
          <w:shd w:val="clear"/>
        </w:rPr>
        <w:t xml:space="preserve">to an increase in small power plants and </w:t>
      </w:r>
      <w:r>
        <w:rPr>
          <w:b w:val="0"/>
          <w:shd w:val="clear"/>
        </w:rPr>
        <w:t xml:space="preserve">distributed generation, and additional facilities </w:t>
      </w:r>
      <w:r>
        <w:rPr>
          <w:b w:val="0"/>
          <w:shd w:val="clear"/>
        </w:rPr>
        <w:t xml:space="preserve">may be needed to respond to fluctuations in </w:t>
      </w:r>
      <w:r>
        <w:rPr>
          <w:b w:val="0"/>
          <w:shd w:val="clear"/>
        </w:rPr>
        <w:t xml:space="preserve">output. On the other hand, large-scale power </w:t>
      </w:r>
      <w:r>
        <w:rPr>
          <w:b w:val="0"/>
          <w:shd w:val="clear"/>
        </w:rPr>
        <w:t xml:space="preserve">generation using turbines is expected to be able </w:t>
      </w:r>
      <w:r>
        <w:rPr>
          <w:b w:val="0"/>
          <w:shd w:val="clear"/>
        </w:rPr>
        <w:t xml:space="preserve">to use the existing power grid.</w:t>
      </w: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2. Investigate the hydrogen technology </w:t>
      </w:r>
      <w:r>
        <w:rPr>
          <w:b w:val="0"/>
          <w:shd w:val="clear"/>
        </w:rPr>
        <w:t xml:space="preserve">infrastructure in your country and devise a </w:t>
      </w:r>
      <w:r>
        <w:rPr>
          <w:b w:val="0"/>
          <w:shd w:val="clear"/>
        </w:rPr>
        <w:t xml:space="preserve">hydrogen value chain in your country (or with </w:t>
      </w:r>
      <w:r>
        <w:rPr>
          <w:b w:val="0"/>
          <w:shd w:val="clear"/>
        </w:rPr>
        <w:t xml:space="preserve">neighboring countries) to achieve net-zero in </w:t>
      </w:r>
      <w:r>
        <w:rPr>
          <w:b w:val="0"/>
          <w:shd w:val="clear"/>
        </w:rPr>
        <w:t>2050</w:t>
      </w:r>
    </w:p>
    <w:p>
      <w:pPr>
        <w:pStyle w:val="PO155"/>
        <w:ind w:firstLine="105"/>
        <w:rPr>
          <w:b w:val="0"/>
          <w:shd w:val="clear"/>
        </w:rPr>
      </w:pPr>
    </w:p>
    <w:p>
      <w:pPr>
        <w:pStyle w:val="PO155"/>
        <w:ind w:firstLine="105"/>
        <w:rPr>
          <w:b w:val="0"/>
          <w:shd w:val="clear"/>
        </w:rPr>
      </w:pPr>
      <w:r>
        <w:rPr>
          <w:b w:val="0"/>
          <w:shd w:val="clear"/>
        </w:rPr>
        <w:t xml:space="preserve">Korea's neighboring countries include China, </w:t>
      </w:r>
      <w:r>
        <w:rPr>
          <w:b w:val="0"/>
          <w:shd w:val="clear"/>
        </w:rPr>
        <w:t xml:space="preserve">Japan, and North Korea. Since physical exchange </w:t>
      </w:r>
      <w:r>
        <w:rPr>
          <w:b w:val="0"/>
          <w:shd w:val="clear"/>
        </w:rPr>
        <w:t xml:space="preserve">with North Korea is not feasible, we thought that </w:t>
      </w:r>
      <w:r>
        <w:rPr>
          <w:b w:val="0"/>
          <w:shd w:val="clear"/>
        </w:rPr>
        <w:t xml:space="preserve">China and Japan are the most feasible countries </w:t>
      </w:r>
      <w:r>
        <w:rPr>
          <w:b w:val="0"/>
          <w:shd w:val="clear"/>
        </w:rPr>
        <w:t xml:space="preserve">for practical exchange. We thought that we </w:t>
      </w:r>
      <w:r>
        <w:rPr>
          <w:b w:val="0"/>
          <w:shd w:val="clear"/>
        </w:rPr>
        <w:t xml:space="preserve">should increase renewable energy generation </w:t>
      </w:r>
      <w:r>
        <w:rPr>
          <w:b w:val="0"/>
          <w:shd w:val="clear"/>
        </w:rPr>
        <w:t xml:space="preserve">sources to produce green hydrogen as much as </w:t>
      </w:r>
      <w:r>
        <w:rPr>
          <w:b w:val="0"/>
          <w:shd w:val="clear"/>
        </w:rPr>
        <w:t xml:space="preserve">possible. Representative examples of renewable </w:t>
      </w:r>
      <w:r>
        <w:rPr>
          <w:b w:val="0"/>
          <w:shd w:val="clear"/>
        </w:rPr>
        <w:t xml:space="preserve">energy include onshore wind, offshore wind, and </w:t>
      </w:r>
      <w:r>
        <w:rPr>
          <w:b w:val="0"/>
          <w:shd w:val="clear"/>
        </w:rPr>
        <w:t xml:space="preserve">solar power, and in the case of Korea, which is </w:t>
      </w:r>
      <w:r>
        <w:rPr>
          <w:b w:val="0"/>
          <w:shd w:val="clear"/>
        </w:rPr>
        <w:t xml:space="preserve">surrounded by the sea on three sides, if offshore </w:t>
      </w:r>
      <w:r>
        <w:rPr>
          <w:b w:val="0"/>
          <w:shd w:val="clear"/>
        </w:rPr>
        <w:t xml:space="preserve">wind farms are built along the west and south </w:t>
      </w:r>
      <w:r>
        <w:rPr>
          <w:b w:val="0"/>
          <w:shd w:val="clear"/>
        </w:rPr>
        <w:t xml:space="preserve">coasts, where the water depth is relatively </w:t>
      </w:r>
      <w:r>
        <w:rPr>
          <w:b w:val="0"/>
          <w:shd w:val="clear"/>
        </w:rPr>
        <w:t xml:space="preserve">shallow, green hydrogen can be produced using </w:t>
      </w:r>
      <w:r>
        <w:rPr>
          <w:b w:val="0"/>
          <w:shd w:val="clear"/>
        </w:rPr>
        <w:t xml:space="preserve">the electricity generated from them.  If green </w:t>
      </w:r>
      <w:r>
        <w:rPr>
          <w:b w:val="0"/>
          <w:shd w:val="clear"/>
        </w:rPr>
        <w:t xml:space="preserve">hydrogen is obtained from the west coast and </w:t>
      </w:r>
      <w:r>
        <w:rPr>
          <w:b w:val="0"/>
          <w:shd w:val="clear"/>
        </w:rPr>
        <w:t xml:space="preserve">south coast, liquefied hydrogen is transported to </w:t>
      </w:r>
      <w:r>
        <w:rPr>
          <w:b w:val="0"/>
          <w:shd w:val="clear"/>
        </w:rPr>
        <w:t xml:space="preserve">the metropolitan area through liquefaction and </w:t>
      </w:r>
      <w:r>
        <w:rPr>
          <w:b w:val="0"/>
          <w:shd w:val="clear"/>
        </w:rPr>
        <w:t xml:space="preserve">storage, and hydrogen turbines or fuel cell </w:t>
      </w:r>
      <w:r>
        <w:rPr>
          <w:b w:val="0"/>
          <w:shd w:val="clear"/>
        </w:rPr>
        <w:t xml:space="preserve">facilities are installed near the metropolitan area, </w:t>
      </w:r>
      <w:r>
        <w:rPr>
          <w:b w:val="0"/>
          <w:shd w:val="clear"/>
        </w:rPr>
        <w:t xml:space="preserve">it will help to stabilize the operation of the </w:t>
      </w:r>
      <w:r>
        <w:rPr>
          <w:b w:val="0"/>
          <w:shd w:val="clear"/>
        </w:rPr>
        <w:t xml:space="preserve">metropolitan area by supplying the shortage of </w:t>
      </w:r>
      <w:r>
        <w:rPr>
          <w:b w:val="0"/>
          <w:shd w:val="clear"/>
        </w:rPr>
        <w:t xml:space="preserve">electricity. As a result, the value chain for </w:t>
      </w:r>
      <w:r>
        <w:rPr>
          <w:b w:val="0"/>
          <w:shd w:val="clear"/>
        </w:rPr>
        <w:t xml:space="preserve">achieving Net Zero in 2050 can be organized </w:t>
      </w:r>
      <w:r>
        <w:rPr>
          <w:b w:val="0"/>
          <w:shd w:val="clear"/>
        </w:rPr>
        <w:t xml:space="preserve">along the west coast.</w:t>
      </w:r>
    </w:p>
    <w:p>
      <w:pPr>
        <w:pStyle w:val="PO155"/>
        <w:numPr>
          <w:numId w:val="11"/>
          <w:ilvl w:val="0"/>
        </w:numPr>
        <w:rPr>
          <w:b w:val="0"/>
          <w:shd w:val="clear"/>
          <w:rFonts w:hint="eastAsia"/>
        </w:rPr>
      </w:pPr>
      <w:r>
        <w:rPr>
          <w:b w:val="0"/>
          <w:shd w:val="clear"/>
        </w:rPr>
        <w:t xml:space="preserve">Korea's neighbors include China and </w:t>
      </w:r>
      <w:r>
        <w:rPr>
          <w:b w:val="0"/>
          <w:shd w:val="clear"/>
        </w:rPr>
        <w:t xml:space="preserve">Japan. Since it is difficult to have a </w:t>
      </w:r>
      <w:r>
        <w:rPr>
          <w:b w:val="0"/>
          <w:shd w:val="clear"/>
        </w:rPr>
        <w:t xml:space="preserve">physical exchange with North Korea, we </w:t>
      </w:r>
      <w:r>
        <w:rPr>
          <w:b w:val="0"/>
          <w:shd w:val="clear"/>
        </w:rPr>
        <w:t xml:space="preserve">believe that it is possible to have a </w:t>
      </w:r>
      <w:r>
        <w:rPr>
          <w:b w:val="0"/>
          <w:shd w:val="clear"/>
        </w:rPr>
        <w:t xml:space="preserve">practical exchange with China and Japan. </w:t>
      </w:r>
      <w:r>
        <w:rPr>
          <w:b w:val="0"/>
          <w:shd w:val="clear"/>
        </w:rPr>
        <w:t xml:space="preserve">We believe that we should increase </w:t>
      </w:r>
      <w:r>
        <w:rPr>
          <w:b w:val="0"/>
          <w:shd w:val="clear"/>
        </w:rPr>
        <w:t xml:space="preserve">renewable energy sources to produce </w:t>
      </w:r>
      <w:r>
        <w:rPr>
          <w:b w:val="0"/>
          <w:shd w:val="clear"/>
        </w:rPr>
        <w:t xml:space="preserve">green hydrogen.</w:t>
      </w:r>
      <w:r>
        <w:rPr>
          <w:b w:val="0"/>
          <w:shd w:val="clear"/>
          <w:rFonts w:hint="eastAsia"/>
        </w:rPr>
        <w:t xml:space="preserve"> </w:t>
      </w:r>
      <w:r>
        <w:rPr>
          <w:b w:val="0"/>
          <w:shd w:val="clear"/>
        </w:rPr>
        <w:t xml:space="preserve">Representative </w:t>
      </w:r>
      <w:r>
        <w:rPr>
          <w:b w:val="0"/>
          <w:shd w:val="clear"/>
        </w:rPr>
        <w:t xml:space="preserve">examples of renewable energy include </w:t>
      </w:r>
      <w:r>
        <w:rPr>
          <w:b w:val="0"/>
          <w:shd w:val="clear"/>
        </w:rPr>
        <w:t xml:space="preserve">onshore wind, offshore wind, and solar </w:t>
      </w:r>
      <w:r>
        <w:rPr>
          <w:b w:val="0"/>
          <w:shd w:val="clear"/>
        </w:rPr>
        <w:t xml:space="preserve">power, and since Korea is bordered by </w:t>
      </w:r>
      <w:r>
        <w:rPr>
          <w:b w:val="0"/>
          <w:shd w:val="clear"/>
        </w:rPr>
        <w:t xml:space="preserve">the sea on three sides, if offshore wind </w:t>
      </w:r>
      <w:r>
        <w:rPr>
          <w:b w:val="0"/>
          <w:shd w:val="clear"/>
        </w:rPr>
        <w:t xml:space="preserve">farms are built along the west and south </w:t>
      </w:r>
      <w:r>
        <w:rPr>
          <w:b w:val="0"/>
          <w:shd w:val="clear"/>
        </w:rPr>
        <w:t xml:space="preserve">coasts, where the water depth is </w:t>
      </w:r>
      <w:r>
        <w:rPr>
          <w:b w:val="0"/>
          <w:shd w:val="clear"/>
        </w:rPr>
        <w:t xml:space="preserve">relatively shallow, green hydrogen can be </w:t>
      </w:r>
      <w:r>
        <w:rPr>
          <w:b w:val="0"/>
          <w:shd w:val="clear"/>
        </w:rPr>
        <w:t xml:space="preserve">produced using the electricity generated </w:t>
      </w:r>
      <w:r>
        <w:rPr>
          <w:b w:val="0"/>
          <w:shd w:val="clear"/>
        </w:rPr>
        <w:t xml:space="preserve">by the wind farms. The green hydrogen </w:t>
      </w:r>
      <w:r>
        <w:rPr>
          <w:b w:val="0"/>
          <w:shd w:val="clear"/>
        </w:rPr>
        <w:t xml:space="preserve">produced along the west and south </w:t>
      </w:r>
      <w:r>
        <w:rPr>
          <w:b w:val="0"/>
          <w:shd w:val="clear"/>
        </w:rPr>
        <w:t xml:space="preserve">coasts is liquefied and stored at hydrogen </w:t>
      </w:r>
      <w:r>
        <w:rPr>
          <w:b w:val="0"/>
          <w:shd w:val="clear"/>
        </w:rPr>
        <w:t xml:space="preserve">liquefaction facilities in those areas, and </w:t>
      </w:r>
      <w:r>
        <w:rPr>
          <w:b w:val="0"/>
          <w:shd w:val="clear"/>
        </w:rPr>
        <w:t xml:space="preserve">the liquefied hydrogen is transported to </w:t>
      </w:r>
      <w:r>
        <w:rPr>
          <w:b w:val="0"/>
          <w:shd w:val="clear"/>
        </w:rPr>
        <w:t xml:space="preserve">the capital city. Hydrogen turbine or fuel </w:t>
      </w:r>
      <w:r>
        <w:rPr>
          <w:b w:val="0"/>
          <w:shd w:val="clear"/>
        </w:rPr>
        <w:t xml:space="preserve">cell facilities near the metropolitan area </w:t>
      </w:r>
      <w:r>
        <w:rPr>
          <w:b w:val="0"/>
          <w:shd w:val="clear"/>
        </w:rPr>
        <w:t xml:space="preserve">are expected to supplement the </w:t>
      </w:r>
      <w:r>
        <w:rPr>
          <w:b w:val="0"/>
          <w:shd w:val="clear"/>
        </w:rPr>
        <w:t xml:space="preserve">electricity shortage in the metropolitan </w:t>
      </w:r>
      <w:r>
        <w:rPr>
          <w:b w:val="0"/>
          <w:shd w:val="clear"/>
        </w:rPr>
        <w:t xml:space="preserve">area to ensure stable operation.</w:t>
      </w:r>
    </w:p>
    <w:p>
      <w:pPr>
        <w:pStyle w:val="PO185"/>
        <w:rPr>
          <w:sz w:val="21"/>
          <w:szCs w:val="21"/>
          <w:shd w:val="clear"/>
          <w:rFonts w:ascii="Arno Pro" w:hAnsi="Arno Pro"/>
        </w:rPr>
      </w:pPr>
    </w:p>
    <w:p>
      <w:pPr>
        <w:pStyle w:val="PO185"/>
        <w:rPr>
          <w:shd w:val="clear"/>
        </w:rPr>
      </w:pPr>
      <w:r>
        <w:rPr>
          <w:shd w:val="clear"/>
        </w:rPr>
        <w:t>REFERENCES</w:t>
      </w:r>
    </w:p>
    <w:p>
      <w:pPr>
        <w:pStyle w:val="PO195"/>
        <w:rPr>
          <w:shd w:val="clear"/>
          <w:rFonts w:ascii="HCI Poppy" w:eastAsia="휴먼명조" w:hAnsi="HCI Poppy"/>
        </w:rPr>
      </w:pPr>
      <w:r>
        <w:rPr>
          <w:shd w:val="clear"/>
          <w:rFonts w:ascii="HCI Poppy" w:eastAsia="휴먼명조" w:hAnsi="HCI Poppy"/>
        </w:rPr>
        <w:t xml:space="preserve">[1] Chemistry 10</w:t>
      </w:r>
      <w:r>
        <w:rPr>
          <w:vertAlign w:val="superscript"/>
          <w:shd w:val="clear"/>
          <w:rFonts w:ascii="HCI Poppy" w:eastAsia="휴먼명조" w:hAnsi="HCI Poppy"/>
        </w:rPr>
        <w:t>th</w:t>
      </w:r>
      <w:r>
        <w:rPr>
          <w:shd w:val="clear"/>
          <w:rFonts w:eastAsia="휴먼명조"/>
        </w:rPr>
        <w:t xml:space="preserve"> </w:t>
      </w:r>
      <w:r>
        <w:rPr>
          <w:shd w:val="clear"/>
          <w:rFonts w:ascii="HCI Poppy" w:eastAsia="휴먼명조" w:hAnsi="HCI Poppy"/>
        </w:rPr>
        <w:t xml:space="preserve">Edition by Steven S. Zumdahl</w:t>
      </w:r>
    </w:p>
    <w:p>
      <w:pPr>
        <w:pStyle w:val="PO195"/>
        <w:rPr>
          <w:shd w:val="clear"/>
        </w:rPr>
      </w:pPr>
      <w:r>
        <w:rPr>
          <w:shd w:val="clear"/>
          <w:rFonts w:ascii="HCI Poppy" w:eastAsia="휴먼명조" w:hAnsi="HCI Poppy"/>
        </w:rPr>
        <w:t xml:space="preserve">[2] Principles of Modern Chemistry 7</w:t>
      </w:r>
      <w:r>
        <w:rPr>
          <w:vertAlign w:val="superscript"/>
          <w:shd w:val="clear"/>
          <w:rFonts w:ascii="HCI Poppy" w:eastAsia="휴먼명조" w:hAnsi="HCI Poppy"/>
        </w:rPr>
        <w:t>th</w:t>
      </w:r>
      <w:r>
        <w:rPr>
          <w:shd w:val="clear"/>
          <w:rFonts w:eastAsia="휴먼명조"/>
        </w:rPr>
        <w:t xml:space="preserve"> </w:t>
      </w:r>
      <w:r>
        <w:rPr>
          <w:shd w:val="clear"/>
          <w:rFonts w:ascii="HCI Poppy" w:eastAsia="휴먼명조" w:hAnsi="HCI Poppy"/>
        </w:rPr>
        <w:t xml:space="preserve">Edition by </w:t>
      </w:r>
      <w:r>
        <w:rPr>
          <w:shd w:val="clear"/>
          <w:rFonts w:ascii="HCI Poppy" w:eastAsia="휴먼명조" w:hAnsi="HCI Poppy"/>
        </w:rPr>
        <w:t xml:space="preserve">David W. Oxtoby, H. Pat Gillis, Alan Campion</w:t>
      </w:r>
      <w:bookmarkEnd w:id="1"/>
    </w:p>
    <w:p>
      <w:pPr>
        <w:sectPr>
          <w:type w:val="continuous"/>
          <w:pgSz w:w="12240" w:h="15840"/>
          <w:pgMar w:top="720" w:left="1094" w:bottom="950" w:right="1094" w:gutter="0"/>
          <w:pgNumType w:fmt="decimal"/>
          <w:docGrid w:type="default" w:linePitch="360" w:charSpace="0"/>
          <w:cols w:equalWidth="1" w:num="2" w:sep="0" w:space="461"/>
        </w:sectPr>
        <w:rPr>
          <w:shd w:val="clear"/>
          <w:rFonts w:hint="eastAsia"/>
          <w:lang w:eastAsia="ko-KR"/>
        </w:rPr>
      </w:pPr>
    </w:p>
    <w:p>
      <w:pPr>
        <w:sectPr>
          <w:type w:val="continuous"/>
          <w:pgSz w:w="12240" w:h="15840"/>
          <w:pgMar w:top="720" w:left="1094" w:bottom="950" w:right="1094" w:gutter="0"/>
          <w:pgNumType w:fmt="decimal"/>
          <w:docGrid w:type="default" w:linePitch="360" w:charSpace="0"/>
        </w:sectPr>
        <w:rPr>
          <w:shd w:val="clear"/>
          <w:rFonts w:hint="eastAsia"/>
          <w:lang w:eastAsia="ko-KR"/>
        </w:rPr>
      </w:pPr>
    </w:p>
    <w:p>
      <w:pPr>
        <w:spacing w:after="240"/>
        <w:rPr>
          <w:shd w:val="clear"/>
          <w:rFonts w:ascii="Arno Pro" w:hAnsi="Arno Pro" w:hint="eastAsia"/>
          <w:lang w:eastAsia="ko-KR"/>
        </w:rPr>
      </w:pPr>
    </w:p>
    <w:sectPr>
      <w:type w:val="continuous"/>
      <w:headerReference w:type="even" r:id="rId11"/>
      <w:footerReference w:type="even" r:id="rId12"/>
      <w:footerReference w:type="default" r:id="rId13"/>
      <w:pgSz w:w="12240" w:h="15840"/>
      <w:pgMar w:top="720" w:left="1094" w:bottom="950" w:right="1094" w:header="0" w:footer="0" w:gutter="0"/>
      <w:pgNumType w:fmt="decimal"/>
      <w:docGrid w:type="default"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York">
    <w:altName w:val="Times New Roman"/>
    <w:panose1 w:val="02040503060506020304"/>
    <w:charset w:val="0"/>
    <w:family w:val="roman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"/>
    <w:family w:val="auto"/>
    <w:pitch w:val="variable"/>
    <w:sig w:usb0="e00002ff" w:usb1="5000205a" w:usb2="00000000" w:usb3="00000000" w:csb0="0000019f" w:csb1="00000000"/>
  </w:font>
  <w:font w:name="Myriad Pro Light">
    <w:altName w:val="Times New Roman"/>
    <w:panose1/>
    <w:charset w:val="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"/>
    <w:family w:val="swiss"/>
    <w:pitch w:val="variable"/>
    <w:sig w:usb0="e0002eff" w:usb1="c000785b" w:usb2="00000009" w:usb3="00000000" w:csb0="000001ff" w:csb1="00000000"/>
  </w:font>
  <w:font w:name="Arno Pro">
    <w:altName w:val="Times New Roman"/>
    <w:panose1 w:val="00000000000000000000"/>
    <w:charset w:val="0"/>
    <w:family w:val="roman"/>
    <w:pitch w:val="variable"/>
    <w:sig w:usb0="60000287" w:usb1="00000001" w:usb2="00000000" w:usb3="00000000" w:csb0="0000019f" w:csb1="00000000"/>
  </w:font>
  <w:font w:name="KoPubWorldBatang Light">
    <w:altName w:val="￫ﾧﾑ￬ﾝﾀ ￪ﾳﾠ￫ﾔﾕ"/>
    <w:panose1/>
    <w:charset w:val="81"/>
    <w:family w:val="auto"/>
    <w:pitch w:val="variable"/>
    <w:sig w:usb0="b000aabf" w:usb1="79d7fcfb" w:usb2="00000010" w:usb3="00000000" w:csb0="00280001" w:csb1="00000000"/>
  </w:font>
  <w:font w:name="Tahoma">
    <w:panose1 w:val="020B0604030504040204"/>
    <w:charset w:val="0"/>
    <w:family w:val="swiss"/>
    <w:pitch w:val="variable"/>
    <w:sig w:usb0="e1002eff" w:usb1="c000605b" w:usb2="00000029" w:usb3="00000000" w:csb0="000101ff" w:csb1="00000000"/>
  </w:font>
  <w:font w:name="Arno Pro Bold">
    <w:altName w:val="Helvetica Neue Light"/>
    <w:panose1/>
    <w:charset w:val="0"/>
    <w:family w:val="auto"/>
    <w:pitch w:val="variable"/>
    <w:sig w:usb0="03000000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CI Poppy">
    <w:altName w:val="Times New Roman"/>
    <w:panose1 w:val="00000000000000000000"/>
    <w:charset w:val="0"/>
    <w:family w:val="roman"/>
    <w:pitch w:val="default"/>
    <w:sig w:usb0="00000000" w:usb1="00000000" w:usb2="00000000" w:usb3="00000000" w:csb0="00000000" w:csb1="00000000"/>
  </w:font>
  <w:font w:name="휴먼명조">
    <w:panose1 w:val="00000000000000000000"/>
    <w:charset w:val="81"/>
    <w:family w:val="roman"/>
    <w:pitch w:val="default"/>
    <w:sig w:usb0="00000001" w:usb1="09060000" w:usb2="00000010" w:usb3="00000000" w:csb0="00080000" w:csb1="00000000"/>
  </w:font>
  <w:font w:name="MS Gothic">
    <w:altName w:val="￯ﾼﾭ￯ﾼﾳ ￣ﾂﾴ￣ﾂﾷ￣ﾃﾃ￣ﾂ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"/>
    <w:family w:val="roman"/>
    <w:pitch w:val="variable"/>
    <w:sig w:usb0="e00006ff" w:usb1="420024ff" w:usb2="02000000" w:usb3="00000000" w:csb0="0000019f" w:csb1="00000000"/>
  </w:font>
</w:fonts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75"/>
      <w:framePr w:wrap="none" w:hSpace="0" w:vSpace="0" w:hAnchor="margin" w:vAnchor="text" w:y="1" w:x="10052"/>
      <w:rPr>
        <w:rStyle w:val="PO178"/>
        <w:shd w:val="clear"/>
      </w:rPr>
    </w:pPr>
    <w:r>
      <w:rPr>
        <w:rStyle w:val="PO178"/>
        <w:shd w:val="clear"/>
      </w:rPr>
      <w:fldChar w:fldCharType="begin"/>
    </w:r>
    <w:r>
      <w:rPr>
        <w:shd w:val="clear"/>
        <w:rFonts w:hint="eastAsia"/>
      </w:rPr>
      <w:instrText>PAGE  \* MERGEFORMAT</w:instrText>
    </w:r>
    <w:r>
      <w:fldChar w:fldCharType="separate"/>
    </w:r>
    <w:r>
      <w:rPr>
        <w:rStyle w:val="PO178"/>
        <w:shd w:val="clear"/>
      </w:rPr>
      <w:t>3</w:t>
    </w:r>
    <w:r>
      <w:rPr>
        <w:rStyle w:val="PO178"/>
        <w:shd w:val="clear"/>
      </w:rPr>
      <w:fldChar w:fldCharType="end"/>
    </w:r>
  </w:p>
  <w:p>
    <w:pPr>
      <w:pStyle w:val="PO175"/>
      <w:ind w:right="360" w:firstLine="0"/>
      <w:rPr>
        <w:shd w:val="clear"/>
      </w:rPr>
    </w:pPr>
  </w:p>
  <w:p>
    <w:pPr>
      <w:rPr>
        <w:shd w:val="clear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75"/>
      <w:framePr w:wrap="none" w:hSpace="0" w:vSpace="0" w:hAnchor="margin" w:vAnchor="text" w:y="1" w:x="10052"/>
      <w:rPr>
        <w:rStyle w:val="PO178"/>
        <w:shd w:val="clear"/>
      </w:rPr>
    </w:pPr>
    <w:r>
      <w:rPr>
        <w:rStyle w:val="PO178"/>
        <w:shd w:val="clear"/>
      </w:rPr>
      <w:fldChar w:fldCharType="begin"/>
    </w:r>
    <w:r>
      <w:rPr>
        <w:shd w:val="clear"/>
        <w:rFonts w:hint="eastAsia"/>
      </w:rPr>
      <w:instrText>PAGE  \* MERGEFORMAT</w:instrText>
    </w:r>
    <w:r>
      <w:fldChar w:fldCharType="separate"/>
    </w:r>
    <w:r>
      <w:rPr>
        <w:rStyle w:val="PO178"/>
        <w:shd w:val="clear"/>
      </w:rPr>
      <w:t>3</w:t>
    </w:r>
    <w:r>
      <w:rPr>
        <w:rStyle w:val="PO178"/>
        <w:shd w:val="clear"/>
      </w:rPr>
      <w:fldChar w:fldCharType="end"/>
    </w:r>
  </w:p>
  <w:p>
    <w:pPr>
      <w:pStyle w:val="PO175"/>
      <w:ind w:right="360" w:firstLine="0"/>
      <w:rPr>
        <w:shd w:val="clear"/>
      </w:rPr>
    </w:pPr>
  </w:p>
  <w:p>
    <w:pPr>
      <w:rPr>
        <w:shd w:val="clear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framePr w:wrap="none" w:hSpace="0" w:vSpace="0" w:hAnchor="margin" w:vAnchor="text" w:y="1" w:x="9292"/>
      <w:rPr>
        <w:rStyle w:val="PO178"/>
        <w:shd w:val="clear"/>
      </w:rPr>
    </w:pPr>
    <w:r>
      <w:rPr>
        <w:rStyle w:val="PO178"/>
        <w:shd w:val="clear"/>
      </w:rPr>
      <w:t xml:space="preserve">PAGE  </w:t>
    </w:r>
    <w:r>
      <w:rPr>
        <w:rStyle w:val="PO178"/>
        <w:shd w:val="clear"/>
      </w:rPr>
      <w:t>2</w:t>
    </w:r>
  </w:p>
  <w:p>
    <w:pPr>
      <w:ind w:right="360" w:firstLine="0"/>
      <w:rPr>
        <w:shd w:val="clear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ind w:right="360" w:firstLine="0"/>
      <w:rPr>
        <w:shd w:val="clear"/>
      </w:rPr>
    </w:pPr>
  </w:p>
</w:ft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pStyle w:val="PO191"/>
      <w:rPr>
        <w:shd w:val="clear"/>
      </w:rPr>
    </w:pPr>
    <w:r>
      <w:rPr>
        <w:sz w:val="20"/>
      </w:rPr>
      <w:drawing>
        <wp:inline distT="0" distB="0" distL="0" distR="0">
          <wp:extent cx="714375" cy="349250"/>
          <wp:effectExtent l="0" t="0" r="0" b="0"/>
          <wp:docPr id="3" name="Picture 1" descr="A blue and black logo  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/storage/emulated/0/Android/data/com.infraware.office.link/cache/.polaris_temp/image1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5010" cy="349885"/>
                  </a:xfrm>
                  <a:prstGeom prst="rect"/>
                  <a:ln cap="flat"/>
                </pic:spPr>
              </pic:pic>
            </a:graphicData>
          </a:graphic>
        </wp:inline>
      </w:drawing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5="http://schemas.microsoft.com/office/word/2012/wordml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 mc:Ignorable="w14 wp14 w15">
  <w:p>
    <w:pPr>
      <w:rPr>
        <w:shd w:val="clea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51ADB4D2"/>
    <w:lvl w:ilvl="0">
      <w:lvlJc w:val="left"/>
      <w:numFmt w:val="upperLetter"/>
      <w:start w:val="1"/>
      <w:suff w:val="tab"/>
      <w:pPr>
        <w:ind w:left="990" w:hanging="360"/>
        <w:rPr/>
      </w:pPr>
      <w:rPr>
        <w:shd w:val="clear"/>
        <w:rFonts w:hint="default"/>
      </w:rPr>
      <w:lvlText w:val="%1."/>
    </w:lvl>
    <w:lvl w:ilvl="1">
      <w:lvlJc w:val="left"/>
      <w:numFmt w:val="upperLetter"/>
      <w:start w:val="1"/>
      <w:suff w:val="tab"/>
      <w:pPr>
        <w:ind w:left="1430" w:hanging="40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1830" w:hanging="40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230" w:hanging="400"/>
        <w:rPr/>
      </w:pPr>
      <w:rPr>
        <w:shd w:val="clear"/>
      </w:rPr>
      <w:lvlText w:val="%4."/>
    </w:lvl>
    <w:lvl w:ilvl="4">
      <w:lvlJc w:val="left"/>
      <w:numFmt w:val="upperLetter"/>
      <w:start w:val="1"/>
      <w:suff w:val="tab"/>
      <w:pPr>
        <w:ind w:left="2630" w:hanging="40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3030" w:hanging="40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3430" w:hanging="400"/>
        <w:rPr/>
      </w:pPr>
      <w:rPr>
        <w:shd w:val="clear"/>
      </w:rPr>
      <w:lvlText w:val="%7."/>
    </w:lvl>
    <w:lvl w:ilvl="7">
      <w:lvlJc w:val="left"/>
      <w:numFmt w:val="upperLetter"/>
      <w:start w:val="1"/>
      <w:suff w:val="tab"/>
      <w:pPr>
        <w:ind w:left="3830" w:hanging="40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4230" w:hanging="400"/>
        <w:rPr/>
      </w:pPr>
      <w:rPr>
        <w:shd w:val="clear"/>
      </w:rPr>
      <w:lvlText w:val="%9."/>
    </w:lvl>
  </w:abstractNum>
  <w:abstractNum w:abstractNumId="1">
    <w:multiLevelType w:val="hybridMultilevel"/>
    <w:nsid w:val="2F000001"/>
    <w:tmpl w:val="379583C6"/>
    <w:lvl w:ilvl="0">
      <w:lvlJc w:val="left"/>
      <w:numFmt w:val="upperRoman"/>
      <w:start w:val="1"/>
      <w:suff w:val="tab"/>
      <w:pPr>
        <w:ind w:left="1120" w:hanging="720"/>
        <w:rPr/>
      </w:pPr>
      <w:rPr>
        <w:shd w:val="clear"/>
        <w:rFonts w:hint="default"/>
      </w:rPr>
      <w:lvlText w:val="%1)"/>
    </w:lvl>
    <w:lvl w:ilvl="1">
      <w:lvlJc w:val="left"/>
      <w:numFmt w:val="upperLetter"/>
      <w:start w:val="1"/>
      <w:suff w:val="tab"/>
      <w:pPr>
        <w:ind w:left="1200" w:hanging="40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1600" w:hanging="40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2000" w:hanging="400"/>
        <w:rPr/>
      </w:pPr>
      <w:rPr>
        <w:shd w:val="clear"/>
      </w:rPr>
      <w:lvlText w:val="%4."/>
    </w:lvl>
    <w:lvl w:ilvl="4">
      <w:lvlJc w:val="left"/>
      <w:numFmt w:val="upperLetter"/>
      <w:start w:val="1"/>
      <w:suff w:val="tab"/>
      <w:pPr>
        <w:ind w:left="2400" w:hanging="40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2800" w:hanging="40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3200" w:hanging="400"/>
        <w:rPr/>
      </w:pPr>
      <w:rPr>
        <w:shd w:val="clear"/>
      </w:rPr>
      <w:lvlText w:val="%7."/>
    </w:lvl>
    <w:lvl w:ilvl="7">
      <w:lvlJc w:val="left"/>
      <w:numFmt w:val="upperLetter"/>
      <w:start w:val="1"/>
      <w:suff w:val="tab"/>
      <w:pPr>
        <w:ind w:left="3600" w:hanging="40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4000" w:hanging="400"/>
        <w:rPr/>
      </w:pPr>
      <w:rPr>
        <w:shd w:val="clear"/>
      </w:rPr>
      <w:lvlText w:val="%9."/>
    </w:lvl>
  </w:abstractNum>
  <w:abstractNum w:abstractNumId="2">
    <w:multiLevelType w:val="hybridMultilevel"/>
    <w:nsid w:val="2F000002"/>
    <w:tmpl w:val="3B0EC63E"/>
    <w:lvl w:ilvl="0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2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3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4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5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6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7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  <w:lvl w:ilvl="8">
      <w:lvlJc w:val="left"/>
      <w:numFmt w:val="lowerLetter"/>
      <w:start w:val="1"/>
      <w:suff w:val="tab"/>
      <w:pPr>
        <w:ind w:left="720" w:hanging="360"/>
        <w:tabs>
          <w:tab w:val="left" w:pos="720"/>
        </w:tabs>
        <w:rPr/>
      </w:pPr>
      <w:rPr>
        <w:shd w:val="clear"/>
        <w:rFonts w:hint="default"/>
      </w:rPr>
      <w:lvlText w:val="%1."/>
    </w:lvl>
  </w:abstractNum>
  <w:abstractNum w:abstractNumId="3">
    <w:multiLevelType w:val="hybridMultilevel"/>
    <w:nsid w:val="2F000003"/>
    <w:tmpl w:val="3BBA0635"/>
    <w:lvl w:ilvl="0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2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3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4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5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6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7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8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</w:abstractNum>
  <w:abstractNum w:abstractNumId="4">
    <w:multiLevelType w:val="hybridMultilevel"/>
    <w:nsid w:val="2F000004"/>
    <w:tmpl w:val="370ECC33"/>
    <w:lvl w:ilvl="0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2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3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4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5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6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7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  <w:lvl w:ilvl="8">
      <w:lvlJc w:val="left"/>
      <w:numFmt w:val="decimal"/>
      <w:start w:val="1"/>
      <w:suff w:val="tab"/>
      <w:pPr>
        <w:ind w:left="360" w:hanging="360"/>
        <w:tabs>
          <w:tab w:val="left" w:pos="360"/>
        </w:tabs>
        <w:rPr/>
      </w:pPr>
      <w:rPr>
        <w:shd w:val="clear"/>
        <w:rFonts w:hint="default"/>
      </w:rPr>
      <w:lvlText w:val="%1."/>
    </w:lvl>
  </w:abstractNum>
  <w:abstractNum w:abstractNumId="5">
    <w:multiLevelType w:val="hybridMultilevel"/>
    <w:nsid w:val="2F000005"/>
    <w:tmpl w:val="25C27FC3"/>
    <w:lvl w:ilvl="0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2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3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4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5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6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7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  <w:lvl w:ilvl="8">
      <w:lvlJc w:val="left"/>
      <w:numFmt w:val="lowerLetter"/>
      <w:start w:val="1"/>
      <w:suff w:val="tab"/>
      <w:pPr>
        <w:ind w:left="922" w:hanging="360"/>
        <w:tabs>
          <w:tab w:val="left" w:pos="922"/>
        </w:tabs>
        <w:rPr/>
      </w:pPr>
      <w:rPr>
        <w:shd w:val="clear"/>
        <w:rFonts w:hint="default"/>
      </w:rPr>
      <w:lvlText w:val="%1."/>
    </w:lvl>
  </w:abstractNum>
  <w:abstractNum w:abstractNumId="6">
    <w:multiLevelType w:val="hybridMultilevel"/>
    <w:nsid w:val="2F000006"/>
    <w:tmpl w:val="5EDE3418"/>
    <w:lvl w:ilvl="0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1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2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3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4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5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6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7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  <w:lvl w:ilvl="8">
      <w:lvlJc w:val="left"/>
      <w:numFmt w:val="decimal"/>
      <w:start w:val="1"/>
      <w:suff w:val="tab"/>
      <w:pPr>
        <w:ind w:left="562" w:hanging="360"/>
        <w:tabs>
          <w:tab w:val="left" w:pos="562"/>
        </w:tabs>
        <w:rPr/>
      </w:pPr>
      <w:rPr>
        <w:shd w:val="clear"/>
        <w:rFonts w:hint="default"/>
      </w:rPr>
      <w:lvlText w:val="%1."/>
    </w:lvl>
  </w:abstractNum>
  <w:abstractNum w:abstractNumId="7">
    <w:multiLevelType w:val="hybridMultilevel"/>
    <w:nsid w:val="2F000007"/>
    <w:tmpl w:val="45CAEAB8"/>
    <w:lvl w:ilvl="0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1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2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3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4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5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6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7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  <w:lvl w:ilvl="8">
      <w:lvlJc w:val="left"/>
      <w:numFmt w:val="lowerLetter"/>
      <w:start w:val="1"/>
      <w:suff w:val="tab"/>
      <w:pPr>
        <w:ind w:left="1080" w:hanging="360"/>
        <w:tabs>
          <w:tab w:val="left" w:pos="1080"/>
        </w:tabs>
        <w:rPr/>
      </w:pPr>
      <w:rPr>
        <w:shd w:val="clear"/>
        <w:rFonts w:hint="default"/>
      </w:rPr>
      <w:lvlText w:val="%1."/>
    </w:lvl>
  </w:abstractNum>
  <w:abstractNum w:abstractNumId="8">
    <w:multiLevelType w:val="hybridMultilevel"/>
    <w:nsid w:val="2F000008"/>
    <w:tmpl w:val="2F1DF94B"/>
    <w:lvl w:ilvl="0">
      <w:lvlJc w:val="left"/>
      <w:numFmt w:val="bullet"/>
      <w:start w:val="2"/>
      <w:suff w:val="tab"/>
      <w:pPr>
        <w:ind w:left="760" w:hanging="360"/>
        <w:rPr/>
      </w:pPr>
      <w:rPr>
        <w:shd w:val="clear"/>
        <w:rFonts w:ascii="Wingdings" w:eastAsia="바탕" w:hAnsi="Wingdings" w:cs="Times New Roman" w:hint="default"/>
      </w:rPr>
      <w:lvlText w:val="è"/>
    </w:lvl>
    <w:lvl w:ilvl="1">
      <w:lvlJc w:val="left"/>
      <w:numFmt w:val="bullet"/>
      <w:start w:val="1"/>
      <w:suff w:val="tab"/>
      <w:pPr>
        <w:ind w:left="1200" w:hanging="400"/>
        <w:rPr/>
      </w:pPr>
      <w:rPr>
        <w:shd w:val="clear"/>
        <w:rFonts w:ascii="Wingdings" w:hAnsi="Wingdings" w:hint="default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shd w:val="clear"/>
        <w:rFonts w:ascii="Wingdings" w:hAnsi="Wingdings" w:hint="default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shd w:val="clear"/>
        <w:rFonts w:ascii="Wingdings" w:hAnsi="Wingdings" w:hint="default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shd w:val="clear"/>
        <w:rFonts w:ascii="Wingdings" w:hAnsi="Wingdings" w:hint="default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shd w:val="clear"/>
        <w:rFonts w:ascii="Wingdings" w:hAnsi="Wingdings" w:hint="default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shd w:val="clear"/>
        <w:rFonts w:ascii="Wingdings" w:hAnsi="Wingdings" w:hint="default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shd w:val="clear"/>
        <w:rFonts w:ascii="Wingdings" w:hAnsi="Wingdings" w:hint="default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shd w:val="clear"/>
        <w:rFonts w:ascii="Wingdings" w:hAnsi="Wingdings" w:hint="default"/>
      </w:rPr>
      <w:lvlText w:val="u"/>
    </w:lvl>
  </w:abstractNum>
  <w:abstractNum w:abstractNumId="9">
    <w:multiLevelType w:val="hybridMultilevel"/>
    <w:nsid w:val="2F000009"/>
    <w:tmpl w:val="2E138A76"/>
    <w:lvl w:ilvl="0">
      <w:lvlJc w:val="left"/>
      <w:numFmt w:val="upperLetter"/>
      <w:start w:val="1"/>
      <w:suff w:val="tab"/>
      <w:pPr>
        <w:ind w:left="630" w:hanging="360"/>
        <w:rPr/>
      </w:pPr>
      <w:rPr>
        <w:shd w:val="clear"/>
        <w:rFonts w:hint="default"/>
      </w:rPr>
      <w:lvlText w:val="%1."/>
    </w:lvl>
    <w:lvl w:ilvl="1">
      <w:lvlJc w:val="left"/>
      <w:numFmt w:val="upperLetter"/>
      <w:start w:val="1"/>
      <w:suff w:val="tab"/>
      <w:pPr>
        <w:ind w:left="1070" w:hanging="40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1470" w:hanging="40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1870" w:hanging="400"/>
        <w:rPr/>
      </w:pPr>
      <w:rPr>
        <w:shd w:val="clear"/>
      </w:rPr>
      <w:lvlText w:val="%4."/>
    </w:lvl>
    <w:lvl w:ilvl="4">
      <w:lvlJc w:val="left"/>
      <w:numFmt w:val="upperLetter"/>
      <w:start w:val="1"/>
      <w:suff w:val="tab"/>
      <w:pPr>
        <w:ind w:left="2270" w:hanging="40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2670" w:hanging="40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3070" w:hanging="400"/>
        <w:rPr/>
      </w:pPr>
      <w:rPr>
        <w:shd w:val="clear"/>
      </w:rPr>
      <w:lvlText w:val="%7."/>
    </w:lvl>
    <w:lvl w:ilvl="7">
      <w:lvlJc w:val="left"/>
      <w:numFmt w:val="upperLetter"/>
      <w:start w:val="1"/>
      <w:suff w:val="tab"/>
      <w:pPr>
        <w:ind w:left="3470" w:hanging="40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3870" w:hanging="400"/>
        <w:rPr/>
      </w:pPr>
      <w:rPr>
        <w:shd w:val="clear"/>
      </w:rPr>
      <w:lvlText w:val="%9."/>
    </w:lvl>
  </w:abstractNum>
  <w:abstractNum w:abstractNumId="10">
    <w:multiLevelType w:val="hybridMultilevel"/>
    <w:nsid w:val="2F00000A"/>
    <w:tmpl w:val="31E2894B"/>
    <w:lvl w:ilvl="0">
      <w:lvlJc w:val="left"/>
      <w:numFmt w:val="upperLetter"/>
      <w:start w:val="1"/>
      <w:suff w:val="tab"/>
      <w:pPr>
        <w:ind w:left="540" w:hanging="360"/>
        <w:rPr/>
      </w:pPr>
      <w:rPr>
        <w:shd w:val="clear"/>
        <w:rFonts w:hint="default"/>
      </w:rPr>
      <w:lvlText w:val="%1."/>
    </w:lvl>
    <w:lvl w:ilvl="1">
      <w:lvlJc w:val="left"/>
      <w:numFmt w:val="upperLetter"/>
      <w:start w:val="1"/>
      <w:suff w:val="tab"/>
      <w:pPr>
        <w:ind w:left="980" w:hanging="400"/>
        <w:rPr/>
      </w:pPr>
      <w:rPr>
        <w:shd w:val="clear"/>
      </w:rPr>
      <w:lvlText w:val="%2."/>
    </w:lvl>
    <w:lvl w:ilvl="2">
      <w:lvlJc w:val="right"/>
      <w:numFmt w:val="lowerRoman"/>
      <w:start w:val="1"/>
      <w:suff w:val="tab"/>
      <w:pPr>
        <w:ind w:left="1380" w:hanging="400"/>
        <w:rPr/>
      </w:pPr>
      <w:rPr>
        <w:shd w:val="clear"/>
      </w:rPr>
      <w:lvlText w:val="%3."/>
    </w:lvl>
    <w:lvl w:ilvl="3">
      <w:lvlJc w:val="left"/>
      <w:numFmt w:val="decimal"/>
      <w:start w:val="1"/>
      <w:suff w:val="tab"/>
      <w:pPr>
        <w:ind w:left="1780" w:hanging="400"/>
        <w:rPr/>
      </w:pPr>
      <w:rPr>
        <w:shd w:val="clear"/>
      </w:rPr>
      <w:lvlText w:val="%4."/>
    </w:lvl>
    <w:lvl w:ilvl="4">
      <w:lvlJc w:val="left"/>
      <w:numFmt w:val="upperLetter"/>
      <w:start w:val="1"/>
      <w:suff w:val="tab"/>
      <w:pPr>
        <w:ind w:left="2180" w:hanging="400"/>
        <w:rPr/>
      </w:pPr>
      <w:rPr>
        <w:shd w:val="clear"/>
      </w:rPr>
      <w:lvlText w:val="%5."/>
    </w:lvl>
    <w:lvl w:ilvl="5">
      <w:lvlJc w:val="right"/>
      <w:numFmt w:val="lowerRoman"/>
      <w:start w:val="1"/>
      <w:suff w:val="tab"/>
      <w:pPr>
        <w:ind w:left="2580" w:hanging="400"/>
        <w:rPr/>
      </w:pPr>
      <w:rPr>
        <w:shd w:val="clear"/>
      </w:rPr>
      <w:lvlText w:val="%6."/>
    </w:lvl>
    <w:lvl w:ilvl="6">
      <w:lvlJc w:val="left"/>
      <w:numFmt w:val="decimal"/>
      <w:start w:val="1"/>
      <w:suff w:val="tab"/>
      <w:pPr>
        <w:ind w:left="2980" w:hanging="400"/>
        <w:rPr/>
      </w:pPr>
      <w:rPr>
        <w:shd w:val="clear"/>
      </w:rPr>
      <w:lvlText w:val="%7."/>
    </w:lvl>
    <w:lvl w:ilvl="7">
      <w:lvlJc w:val="left"/>
      <w:numFmt w:val="upperLetter"/>
      <w:start w:val="1"/>
      <w:suff w:val="tab"/>
      <w:pPr>
        <w:ind w:left="3380" w:hanging="400"/>
        <w:rPr/>
      </w:pPr>
      <w:rPr>
        <w:shd w:val="clear"/>
      </w:rPr>
      <w:lvlText w:val="%8."/>
    </w:lvl>
    <w:lvl w:ilvl="8">
      <w:lvlJc w:val="right"/>
      <w:numFmt w:val="lowerRoman"/>
      <w:start w:val="1"/>
      <w:suff w:val="tab"/>
      <w:pPr>
        <w:ind w:left="3780" w:hanging="400"/>
        <w:rPr/>
      </w:pPr>
      <w:rPr>
        <w:shd w:val="clear"/>
      </w:rPr>
      <w:lvlText w:val="%9."/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1"/>
  </w:num>
  <w:num w:numId="8">
    <w:abstractNumId w:val="9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72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bordersDoNotSurroundFooter/>
  <w:compat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eastAsia="ja-JP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rPr/>
      </w:pPr>
    </w:pPrDefault>
    <w:rPrDefault>
      <w:rPr>
        <w:shd w:val="clear"/>
        <w:rFonts w:ascii="New York" w:eastAsia="바탕" w:hAnsi="New York" w:cs="Times New Roman"/>
        <w:lang w:bidi="ar-SA" w:eastAsia="en-US" w:val="en-US"/>
      </w:rPr>
    </w:rPrDefault>
  </w:docDefaults>
  <w:style w:default="1" w:styleId="PO1" w:type="paragraph">
    <w:name w:val="Normal"/>
    <w:qFormat/>
    <w:pPr>
      <w:jc w:val="both"/>
      <w:spacing w:after="200"/>
      <w:rPr/>
    </w:pPr>
    <w:rPr>
      <w:sz w:val="24"/>
      <w:szCs w:val="24"/>
      <w:shd w:val="clear"/>
      <w:rFonts w:ascii="Times" w:hAnsi="Times"/>
    </w:rPr>
  </w:style>
  <w:style w:default="1" w:styleId="PO2" w:type="character">
    <w:name w:val="Default Paragraph Font"/>
    <w:uiPriority w:val="1"/>
    <w:semiHidden/>
    <w:unhideWhenUsed/>
  </w:style>
  <w:style w:default="1" w:styleId="PO3" w:type="table">
    <w:name w:val="Normal Table"/>
    <w:uiPriority w:val="99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99"/>
    <w:semiHidden/>
    <w:unhideWhenUsed/>
  </w:style>
  <w:style w:styleId="PO7" w:type="paragraph">
    <w:name w:val="heading 1"/>
    <w:basedOn w:val="PO1"/>
    <w:next w:val="PO1"/>
    <w:qFormat/>
    <w:pPr>
      <w:spacing w:before="180" w:after="60"/>
      <w:ind w:left="480" w:hanging="240"/>
      <w:rPr/>
      <w:outlineLvl w:val="0"/>
    </w:pPr>
    <w:rPr>
      <w:b w:val="1"/>
      <w:sz w:val="22"/>
      <w:szCs w:val="22"/>
      <w:shd w:val="clear"/>
      <w:rFonts w:ascii="Myriad Pro Light" w:hAnsi="Myriad Pro Light" w:cs="Arial"/>
    </w:rPr>
  </w:style>
  <w:style w:styleId="PO8" w:type="paragraph">
    <w:name w:val="heading 2"/>
    <w:basedOn w:val="PO1"/>
    <w:next w:val="PO1"/>
    <w:qFormat/>
    <w:pPr>
      <w:spacing w:before="60" w:after="60"/>
      <w:rPr/>
      <w:outlineLvl w:val="1"/>
    </w:pPr>
    <w:rPr>
      <w:b w:val="1"/>
      <w:sz w:val="20"/>
      <w:szCs w:val="20"/>
      <w:shd w:val="clear"/>
      <w:rFonts w:ascii="Myriad Pro Light" w:hAnsi="Myriad Pro Light" w:cs="Arial"/>
    </w:rPr>
  </w:style>
  <w:style w:styleId="PO9" w:type="paragraph">
    <w:name w:val="heading 3"/>
    <w:basedOn w:val="PO1"/>
    <w:next w:val="PO1"/>
    <w:qFormat/>
    <w:pPr>
      <w:spacing w:before="60" w:after="60"/>
      <w:ind w:left="180" w:firstLine="0"/>
      <w:rPr/>
      <w:outlineLvl w:val="2"/>
    </w:pPr>
    <w:rPr>
      <w:b w:val="1"/>
      <w:sz w:val="20"/>
      <w:szCs w:val="20"/>
      <w:shd w:val="clear"/>
      <w:rFonts w:ascii="Myriad Pro Light" w:hAnsi="Myriad Pro Light" w:cs="Arial"/>
    </w:rPr>
  </w:style>
  <w:style w:styleId="PO26" w:type="paragraph">
    <w:name w:val="List Paragraph"/>
    <w:basedOn w:val="PO1"/>
    <w:qFormat/>
    <w:uiPriority w:val="34"/>
    <w:pPr>
      <w:contextualSpacing w:val="1"/>
      <w:ind w:left="720" w:firstLine="0"/>
      <w:rPr/>
    </w:pPr>
  </w:style>
  <w:style w:styleId="PO37" w:type="table">
    <w:name w:val="Table Grid"/>
    <w:basedOn w:val="PO3"/>
    <w:uiPriority w:val="59"/>
    <w:tblPr>
      <w:tblBorders>
        <w:bottom w:val="single" w:color="auto" w:sz="4"/>
        <w:insideH w:val="single" w:color="auto" w:sz="4"/>
        <w:insideV w:val="single" w:color="auto" w:sz="4"/>
        <w:left w:val="single" w:color="auto" w:sz="4"/>
        <w:right w:val="single" w:color="auto" w:sz="4"/>
        <w:top w:val="single" w:color="auto" w:sz="4"/>
      </w:tblBorders>
    </w:tblPr>
  </w:style>
  <w:style w:styleId="PO151" w:type="character">
    <w:name w:val="FollowedHyperlink"/>
    <w:rPr>
      <w:color w:val="800080"/>
      <w:u w:val="single"/>
      <w:shd w:val="clear"/>
    </w:rPr>
  </w:style>
  <w:style w:styleId="PO152" w:type="paragraph">
    <w:name w:val="Body Text"/>
    <w:basedOn w:val="PO1"/>
    <w:pPr>
      <w:jc w:val="center"/>
      <w:rPr/>
    </w:pPr>
    <w:rPr>
      <w:b w:val="1"/>
      <w:sz w:val="40"/>
      <w:szCs w:val="40"/>
      <w:shd w:val="clear"/>
    </w:rPr>
  </w:style>
  <w:style w:styleId="PO153" w:type="paragraph">
    <w:name w:val="footnote text"/>
    <w:basedOn w:val="PO1"/>
    <w:semiHidden/>
  </w:style>
  <w:style w:customStyle="1" w:styleId="PO154" w:type="paragraph">
    <w:name w:val="TF_References_Section"/>
    <w:basedOn w:val="PO1"/>
    <w:next w:val="PO1"/>
    <w:pPr>
      <w:spacing w:after="0"/>
      <w:ind w:firstLine="187"/>
      <w:rPr/>
    </w:pPr>
    <w:rPr>
      <w:sz w:val="17"/>
      <w:szCs w:val="17"/>
      <w:shd w:val="clear"/>
      <w:rFonts w:ascii="Arno Pro" w:hAnsi="Arno Pro"/>
    </w:rPr>
  </w:style>
  <w:style w:customStyle="1" w:styleId="PO155" w:type="paragraph">
    <w:name w:val="TA_Main_Text"/>
    <w:basedOn w:val="PO1"/>
    <w:pPr>
      <w:spacing w:after="60"/>
      <w:ind w:firstLine="180"/>
      <w:rPr/>
    </w:pPr>
    <w:rPr>
      <w:b w:val="1"/>
      <w:sz w:val="21"/>
      <w:szCs w:val="21"/>
      <w:shd w:val="clear"/>
      <w:rFonts w:ascii="Arno Pro" w:hAnsi="Arno Pro"/>
      <w:lang w:eastAsia="ko-KR"/>
    </w:rPr>
  </w:style>
  <w:style w:customStyle="1" w:styleId="PO156" w:type="paragraph">
    <w:name w:val="BA_Title"/>
    <w:basedOn w:val="PO1"/>
    <w:pPr>
      <w:jc w:val="center"/>
      <w:spacing w:before="1400" w:after="180"/>
      <w:rPr/>
    </w:pPr>
    <w:rPr>
      <w:b w:val="1"/>
      <w:sz w:val="34"/>
      <w:szCs w:val="34"/>
      <w:shd w:val="clear"/>
      <w:rFonts w:ascii="Myriad Pro Light" w:hAnsi="Myriad Pro Light"/>
    </w:rPr>
  </w:style>
  <w:style w:customStyle="1" w:styleId="PO157" w:type="paragraph">
    <w:name w:val="BB_Author_Name"/>
    <w:basedOn w:val="PO1"/>
    <w:pPr>
      <w:jc w:val="left"/>
      <w:spacing w:after="180"/>
      <w:rPr/>
    </w:pPr>
    <w:rPr>
      <w:shd w:val="clear"/>
      <w:rFonts w:ascii="Arno Pro" w:hAnsi="Arno Pro"/>
    </w:rPr>
  </w:style>
  <w:style w:customStyle="1" w:styleId="PO158" w:type="paragraph">
    <w:name w:val="BC_Author_Address"/>
    <w:basedOn w:val="PO1"/>
    <w:pPr>
      <w:jc w:val="center"/>
      <w:spacing w:after="60"/>
      <w:rPr/>
    </w:pPr>
    <w:rPr>
      <w:sz w:val="20"/>
      <w:szCs w:val="20"/>
      <w:shd w:val="clear"/>
      <w:rFonts w:ascii="Times New Roman" w:eastAsia="KoPubWorldBatang Light" w:hAnsi="Times New Roman"/>
      <w:lang w:eastAsia="ko-KR"/>
    </w:rPr>
  </w:style>
  <w:style w:customStyle="1" w:styleId="PO159" w:type="paragraph">
    <w:name w:val="BI_Email_Address"/>
    <w:basedOn w:val="PO1"/>
    <w:pPr>
      <w:jc w:val="left"/>
      <w:spacing w:after="100"/>
      <w:rPr/>
    </w:pPr>
    <w:rPr>
      <w:sz w:val="18"/>
      <w:szCs w:val="18"/>
      <w:shd w:val="clear"/>
      <w:rFonts w:ascii="Arno Pro" w:hAnsi="Arno Pro"/>
    </w:rPr>
  </w:style>
  <w:style w:customStyle="1" w:styleId="PO160" w:type="paragraph">
    <w:name w:val="AI_Received_Date"/>
    <w:basedOn w:val="PO1"/>
    <w:next w:val="PO1"/>
    <w:pPr>
      <w:jc w:val="left"/>
      <w:spacing w:after="100"/>
      <w:rPr/>
    </w:pPr>
    <w:rPr>
      <w:sz w:val="18"/>
      <w:szCs w:val="18"/>
      <w:shd w:val="clear"/>
      <w:rFonts w:ascii="Arno Pro" w:hAnsi="Arno Pro"/>
    </w:rPr>
  </w:style>
  <w:style w:customStyle="1" w:styleId="PO161" w:type="paragraph">
    <w:name w:val="BD_Abstract"/>
    <w:basedOn w:val="PO1"/>
    <w:next w:val="PO155"/>
    <w:link w:val="PO186"/>
    <w:pPr>
      <w:spacing w:before="100" w:after="600"/>
      <w:pBdr>
        <w:top w:sz="4" w:space="1" w:color="000000" w:val="single"/>
        <w:bottom w:sz="4" w:space="1" w:color="000000" w:val="single"/>
      </w:pBdr>
      <w:rPr/>
    </w:pPr>
    <w:rPr>
      <w:sz w:val="21"/>
      <w:szCs w:val="21"/>
      <w:shd w:val="clear"/>
      <w:rFonts w:ascii="Arno Pro" w:hAnsi="Arno Pro"/>
    </w:rPr>
  </w:style>
  <w:style w:customStyle="1" w:styleId="PO162" w:type="paragraph">
    <w:name w:val="Section_Content"/>
    <w:basedOn w:val="PO1"/>
    <w:next w:val="PO1"/>
    <w:pPr>
      <w:spacing w:after="0"/>
      <w:rPr/>
    </w:pPr>
    <w:rPr>
      <w:sz w:val="20"/>
      <w:szCs w:val="20"/>
      <w:shd w:val="clear"/>
      <w:rFonts w:ascii="Arno Pro" w:hAnsi="Arno Pro"/>
    </w:rPr>
  </w:style>
  <w:style w:customStyle="1" w:styleId="PO163" w:type="paragraph">
    <w:name w:val="VC_Scheme_Title"/>
    <w:basedOn w:val="PO1"/>
    <w:next w:val="PO1"/>
    <w:pPr>
      <w:spacing w:after="180"/>
      <w:rPr/>
    </w:pPr>
    <w:rPr>
      <w:b w:val="1"/>
      <w:sz w:val="21"/>
      <w:szCs w:val="21"/>
      <w:shd w:val="clear"/>
      <w:rFonts w:ascii="Arno Pro" w:hAnsi="Arno Pro"/>
    </w:rPr>
  </w:style>
  <w:style w:customStyle="1" w:styleId="PO164" w:type="paragraph">
    <w:name w:val="VD_Table_Title"/>
    <w:basedOn w:val="PO1"/>
    <w:next w:val="PO1"/>
    <w:pPr>
      <w:spacing w:after="180"/>
      <w:rPr/>
    </w:pPr>
    <w:rPr>
      <w:b w:val="1"/>
      <w:sz w:val="19"/>
      <w:szCs w:val="19"/>
      <w:shd w:val="clear"/>
      <w:rFonts w:ascii="Arno Pro" w:hAnsi="Arno Pro"/>
    </w:rPr>
  </w:style>
  <w:style w:customStyle="1" w:styleId="PO165" w:type="paragraph">
    <w:name w:val="VA_Figure_Caption"/>
    <w:basedOn w:val="PO1"/>
    <w:next w:val="PO1"/>
    <w:pPr>
      <w:spacing w:before="200" w:after="120"/>
      <w:rPr/>
    </w:pPr>
    <w:rPr>
      <w:sz w:val="20"/>
      <w:szCs w:val="20"/>
      <w:shd w:val="clear"/>
      <w:rFonts w:ascii="Arno Pro" w:hAnsi="Arno Pro"/>
    </w:rPr>
  </w:style>
  <w:style w:customStyle="1" w:styleId="PO166" w:type="paragraph">
    <w:name w:val="VB_Chart_Title"/>
    <w:basedOn w:val="PO1"/>
    <w:next w:val="PO1"/>
    <w:pPr>
      <w:spacing w:after="180"/>
      <w:rPr/>
    </w:pPr>
    <w:rPr>
      <w:b w:val="1"/>
      <w:sz w:val="19"/>
      <w:szCs w:val="19"/>
      <w:shd w:val="clear"/>
      <w:rFonts w:ascii="Arno Pro" w:hAnsi="Arno Pro"/>
    </w:rPr>
  </w:style>
  <w:style w:customStyle="1" w:styleId="PO167" w:type="paragraph">
    <w:name w:val="FE_Table_Footnote"/>
    <w:basedOn w:val="PO1"/>
    <w:next w:val="PO1"/>
    <w:pPr>
      <w:spacing w:before="60" w:after="120"/>
      <w:ind w:firstLine="187"/>
      <w:rPr/>
    </w:pPr>
    <w:rPr>
      <w:sz w:val="20"/>
      <w:szCs w:val="20"/>
      <w:shd w:val="clear"/>
      <w:rFonts w:ascii="Arno Pro" w:hAnsi="Arno Pro"/>
    </w:rPr>
  </w:style>
  <w:style w:customStyle="1" w:styleId="PO168" w:type="paragraph">
    <w:name w:val="FC_Chart_Footnote"/>
    <w:basedOn w:val="PO1"/>
    <w:next w:val="PO1"/>
    <w:pPr>
      <w:spacing w:before="60" w:after="120"/>
      <w:ind w:firstLine="187"/>
      <w:rPr/>
    </w:pPr>
    <w:rPr>
      <w:sz w:val="20"/>
      <w:szCs w:val="20"/>
      <w:shd w:val="clear"/>
      <w:rFonts w:ascii="Arno Pro" w:hAnsi="Arno Pro"/>
    </w:rPr>
  </w:style>
  <w:style w:customStyle="1" w:styleId="PO169" w:type="paragraph">
    <w:name w:val="FD_Scheme_Footnote"/>
    <w:basedOn w:val="PO1"/>
    <w:next w:val="PO1"/>
    <w:pPr>
      <w:spacing w:before="60" w:after="120"/>
      <w:ind w:firstLine="187"/>
      <w:rPr/>
    </w:pPr>
    <w:rPr>
      <w:sz w:val="20"/>
      <w:szCs w:val="20"/>
      <w:shd w:val="clear"/>
      <w:rFonts w:ascii="Arno Pro" w:hAnsi="Arno Pro"/>
    </w:rPr>
  </w:style>
  <w:style w:customStyle="1" w:styleId="PO170" w:type="paragraph">
    <w:name w:val="TC_Table_Body"/>
    <w:basedOn w:val="PO1"/>
    <w:next w:val="PO1"/>
    <w:pPr>
      <w:spacing w:before="20" w:after="60"/>
      <w:rPr/>
    </w:pPr>
    <w:rPr>
      <w:sz w:val="20"/>
      <w:szCs w:val="20"/>
      <w:shd w:val="clear"/>
      <w:rFonts w:ascii="Arno Pro" w:hAnsi="Arno Pro"/>
    </w:rPr>
  </w:style>
  <w:style w:customStyle="1" w:styleId="PO171" w:type="paragraph">
    <w:name w:val="BE_Author_Biography"/>
    <w:basedOn w:val="PO1"/>
    <w:link w:val="PO189"/>
    <w:rPr>
      <w:sz w:val="22"/>
      <w:szCs w:val="22"/>
      <w:shd w:val="clear"/>
      <w:rFonts w:ascii="Arno Pro" w:hAnsi="Arno Pro"/>
    </w:rPr>
  </w:style>
  <w:style w:customStyle="1" w:styleId="PO172" w:type="paragraph">
    <w:name w:val="Style BI_Email_Address + 9.5 pt"/>
    <w:basedOn w:val="PO159"/>
    <w:pPr>
      <w:spacing w:after="60"/>
      <w:rPr/>
    </w:pPr>
    <w:rPr>
      <w:sz w:val="19"/>
      <w:szCs w:val="19"/>
      <w:shd w:val="clear"/>
    </w:rPr>
  </w:style>
  <w:style w:customStyle="1" w:styleId="PO173" w:type="paragraph">
    <w:name w:val="SN_Synopsis_TOC"/>
    <w:basedOn w:val="PO1"/>
    <w:next w:val="PO1"/>
    <w:pPr>
      <w:spacing w:after="60"/>
      <w:rPr/>
    </w:pPr>
    <w:rPr>
      <w:sz w:val="20"/>
      <w:szCs w:val="20"/>
      <w:shd w:val="clear"/>
      <w:rFonts w:ascii="Arno Pro" w:hAnsi="Arno Pro"/>
    </w:rPr>
  </w:style>
  <w:style w:styleId="PO174" w:type="character">
    <w:name w:val="Hyperlink"/>
    <w:rPr>
      <w:color w:val="0000FF"/>
      <w:u w:val="single"/>
      <w:shd w:val="clear"/>
    </w:rPr>
  </w:style>
  <w:style w:styleId="PO175" w:type="paragraph">
    <w:name w:val="footer"/>
    <w:basedOn w:val="PO1"/>
    <w:pPr>
      <w:tabs>
        <w:tab w:val="center" w:pos="4320"/>
        <w:tab w:val="right" w:pos="8640"/>
      </w:tabs>
      <w:rPr/>
    </w:pPr>
  </w:style>
  <w:style w:customStyle="1" w:styleId="PO176" w:type="paragraph">
    <w:name w:val="BG_Keywords"/>
    <w:basedOn w:val="PO1"/>
    <w:pPr>
      <w:jc w:val="left"/>
      <w:spacing w:after="220"/>
      <w:rPr/>
    </w:pPr>
    <w:rPr>
      <w:i w:val="1"/>
      <w:sz w:val="20"/>
      <w:szCs w:val="20"/>
      <w:shd w:val="clear"/>
      <w:rFonts w:ascii="Arno Pro" w:hAnsi="Arno Pro"/>
    </w:rPr>
  </w:style>
  <w:style w:customStyle="1" w:styleId="PO177" w:type="paragraph">
    <w:name w:val="BH_Briefs"/>
    <w:basedOn w:val="PO1"/>
    <w:next w:val="PO161"/>
    <w:pPr>
      <w:jc w:val="left"/>
      <w:spacing w:before="180" w:after="60"/>
      <w:rPr/>
    </w:pPr>
    <w:rPr>
      <w:sz w:val="20"/>
      <w:szCs w:val="20"/>
      <w:shd w:val="clear"/>
      <w:rFonts w:ascii="Arno Pro" w:hAnsi="Arno Pro"/>
    </w:rPr>
  </w:style>
  <w:style w:styleId="PO178" w:type="character">
    <w:name w:val="page number"/>
    <w:basedOn w:val="PO2"/>
  </w:style>
  <w:style w:styleId="PO179" w:type="paragraph">
    <w:name w:val="Balloon Text"/>
    <w:basedOn w:val="PO1"/>
    <w:semiHidden/>
    <w:rPr>
      <w:sz w:val="16"/>
      <w:szCs w:val="16"/>
      <w:shd w:val="clear"/>
      <w:rFonts w:ascii="Tahoma" w:hAnsi="Tahoma" w:cs="Tahoma"/>
    </w:rPr>
  </w:style>
  <w:style w:styleId="PO180" w:type="character">
    <w:name w:val="endnote reference"/>
    <w:semiHidden/>
    <w:rPr>
      <w:vertAlign w:val="superscript"/>
      <w:sz w:val="18"/>
      <w:szCs w:val="18"/>
      <w:shd w:val="clear"/>
      <w:rFonts w:ascii="Times" w:hAnsi="Times"/>
    </w:rPr>
  </w:style>
  <w:style w:customStyle="1" w:styleId="PO181" w:type="paragraph">
    <w:name w:val="Style TC_Table_Body + Bold"/>
    <w:basedOn w:val="PO170"/>
    <w:rPr>
      <w:b w:val="1"/>
      <w:sz w:val="15"/>
      <w:szCs w:val="15"/>
      <w:shd w:val="clear"/>
    </w:rPr>
  </w:style>
  <w:style w:customStyle="1" w:styleId="PO182" w:type="paragraph">
    <w:name w:val="BD_Abstract_Title"/>
    <w:basedOn w:val="PO161"/>
    <w:link w:val="PO187"/>
    <w:rPr>
      <w:b w:val="1"/>
      <w:shd w:val="clear"/>
    </w:rPr>
  </w:style>
  <w:style w:customStyle="1" w:styleId="PO183" w:type="character">
    <w:name w:val="BD_Abstract Char"/>
    <w:link w:val="PO190"/>
    <w:rPr>
      <w:sz w:val="19"/>
      <w:szCs w:val="19"/>
      <w:shd w:val="clear"/>
      <w:rFonts w:ascii="Arno Pro" w:hAnsi="Arno Pro"/>
      <w:lang w:bidi="ar-SA" w:eastAsia="en-US" w:val="en-US"/>
    </w:rPr>
  </w:style>
  <w:style w:customStyle="1" w:styleId="PO184" w:type="character">
    <w:name w:val="BD_Abstract_Title Char"/>
    <w:link w:val="PO185"/>
    <w:rPr>
      <w:shd w:val="clear"/>
      <w:rFonts w:ascii="Times New Roman" w:hAnsi="Times New Roman"/>
      <w:lang w:eastAsia="ko-KR"/>
    </w:rPr>
  </w:style>
  <w:style w:customStyle="1" w:styleId="PO185" w:type="paragraph">
    <w:name w:val="Section_Title"/>
    <w:basedOn w:val="PO162"/>
    <w:link w:val="PO184"/>
    <w:pPr>
      <w:spacing w:before="180" w:after="120"/>
      <w:rPr/>
    </w:pPr>
    <w:rPr>
      <w:shd w:val="clear"/>
      <w:rFonts w:ascii="Times New Roman" w:hAnsi="Times New Roman"/>
      <w:lang w:eastAsia="ko-KR"/>
    </w:rPr>
  </w:style>
  <w:style w:customStyle="1" w:styleId="PO186" w:type="paragraph">
    <w:name w:val="Author_Information_Title"/>
    <w:basedOn w:val="PO1"/>
    <w:link w:val="PO161"/>
    <w:pPr>
      <w:spacing w:before="180" w:after="60"/>
      <w:rPr/>
    </w:pPr>
    <w:rPr>
      <w:b w:val="1"/>
      <w:sz w:val="21"/>
      <w:szCs w:val="21"/>
      <w:shd w:val="clear"/>
      <w:rFonts w:ascii="Myriad Pro Light" w:hAnsi="Myriad Pro Light"/>
    </w:rPr>
  </w:style>
  <w:style w:customStyle="1" w:styleId="PO187" w:type="paragraph">
    <w:name w:val="Section_Subtitle"/>
    <w:basedOn w:val="PO1"/>
    <w:link w:val="PO182"/>
    <w:pPr>
      <w:jc w:val="left"/>
      <w:spacing w:before="120" w:after="60"/>
      <w:rPr/>
    </w:pPr>
    <w:rPr>
      <w:b w:val="1"/>
      <w:sz w:val="19"/>
      <w:szCs w:val="19"/>
      <w:shd w:val="clear"/>
      <w:rFonts w:ascii="Myriad Pro Light" w:hAnsi="Myriad Pro Light"/>
    </w:rPr>
  </w:style>
  <w:style w:customStyle="1" w:styleId="PO188" w:type="character">
    <w:name w:val="FA_Author_Info_Subtitle Char"/>
    <w:rPr>
      <w:b w:val="1"/>
      <w:sz w:val="19"/>
      <w:szCs w:val="19"/>
      <w:shd w:val="clear"/>
      <w:rFonts w:ascii="Myriad Pro Light" w:hAnsi="Myriad Pro Light"/>
      <w:lang w:bidi="ar-SA" w:eastAsia="en-US" w:val="en-US"/>
    </w:rPr>
  </w:style>
  <w:style w:customStyle="1" w:styleId="PO189" w:type="character">
    <w:name w:val="TC_Table_Body Char"/>
    <w:link w:val="PO171"/>
    <w:rPr>
      <w:sz w:val="18"/>
      <w:szCs w:val="18"/>
      <w:shd w:val="clear"/>
      <w:rFonts w:ascii="Arno Pro" w:hAnsi="Arno Pro"/>
      <w:lang w:bidi="ar-SA" w:eastAsia="en-US" w:val="en-US"/>
    </w:rPr>
  </w:style>
  <w:style w:customStyle="1" w:styleId="PO190" w:type="character">
    <w:name w:val="Style TC_Table_Body + Bold Char"/>
    <w:link w:val="PO183"/>
    <w:rPr>
      <w:b w:val="1"/>
      <w:sz w:val="18"/>
      <w:szCs w:val="18"/>
      <w:shd w:val="clear"/>
      <w:rFonts w:ascii="Arno Pro Bold" w:hAnsi="Arno Pro Bold"/>
      <w:lang w:bidi="ar-SA" w:eastAsia="en-US" w:val="en-US"/>
    </w:rPr>
  </w:style>
  <w:style w:styleId="PO191" w:type="paragraph">
    <w:name w:val="header"/>
    <w:basedOn w:val="PO1"/>
    <w:link w:val="PO192"/>
    <w:uiPriority w:val="99"/>
    <w:unhideWhenUsed/>
    <w:pPr>
      <w:spacing w:after="0"/>
      <w:tabs>
        <w:tab w:val="center" w:pos="4680"/>
        <w:tab w:val="right" w:pos="9360"/>
      </w:tabs>
      <w:rPr/>
    </w:pPr>
  </w:style>
  <w:style w:customStyle="1" w:styleId="PO192" w:type="character">
    <w:name w:val="머리글 Char"/>
    <w:basedOn w:val="PO2"/>
    <w:link w:val="PO191"/>
    <w:uiPriority w:val="99"/>
    <w:rPr>
      <w:sz w:val="24"/>
      <w:szCs w:val="24"/>
      <w:shd w:val="clear"/>
      <w:rFonts w:ascii="Times" w:hAnsi="Times"/>
    </w:rPr>
  </w:style>
  <w:style w:styleId="PO193" w:type="paragraph">
    <w:name w:val="Normal (Web)"/>
    <w:basedOn w:val="PO1"/>
    <w:uiPriority w:val="99"/>
    <w:semiHidden/>
    <w:unhideWhenUsed/>
    <w:pPr>
      <w:jc w:val="left"/>
      <w:spacing w:before="100" w:beforeAutospacing="1" w:after="100" w:afterAutospacing="1"/>
      <w:rPr/>
    </w:pPr>
    <w:rPr>
      <w:shd w:val="clear"/>
      <w:rFonts w:ascii="굴림" w:eastAsia="굴림" w:hAnsi="굴림" w:cs="굴림"/>
      <w:lang w:eastAsia="ko-KR"/>
    </w:rPr>
  </w:style>
  <w:style w:customStyle="1" w:styleId="PO194" w:type="character">
    <w:name w:val="ams"/>
    <w:basedOn w:val="PO2"/>
  </w:style>
  <w:style w:customStyle="1" w:styleId="PO195" w:type="paragraph">
    <w:name w:val="바탕글"/>
    <w:basedOn w:val="PO1"/>
    <w:pPr>
      <w:spacing w:lineRule="auto" w:line="384" w:after="0"/>
      <w:rPr/>
      <w:wordWrap w:val="0"/>
      <w:widowControl w:val="0"/>
      <w:snapToGrid w:val="off"/>
      <w:autoSpaceDE w:val="0"/>
      <w:autoSpaceDN w:val="0"/>
    </w:pPr>
    <w:rPr>
      <w:color w:val="000000"/>
      <w:sz w:val="20"/>
      <w:szCs w:val="20"/>
      <w:shd w:val="clear"/>
      <w:rFonts w:ascii="바탕" w:eastAsia="굴림" w:hAnsi="굴림" w:cs="굴림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settings" Target="settings.xml"></Relationship><Relationship Id="rId2" Type="http://schemas.openxmlformats.org/officeDocument/2006/relationships/styles" Target="styles.xml"></Relationship><Relationship Id="rId3" Type="http://schemas.openxmlformats.org/officeDocument/2006/relationships/webSettings" Target="webSettings.xml"></Relationship><Relationship Id="rId4" Type="http://schemas.openxmlformats.org/officeDocument/2006/relationships/fontTable" Target="fontTable.xml"></Relationship><Relationship Id="rId5" Type="http://schemas.openxmlformats.org/officeDocument/2006/relationships/header" Target="header2.xml"></Relationship><Relationship Id="rId6" Type="http://schemas.openxmlformats.org/officeDocument/2006/relationships/footer" Target="footer4.xml"></Relationship><Relationship Id="rId7" Type="http://schemas.openxmlformats.org/officeDocument/2006/relationships/footer" Target="footer6.xml"></Relationship><Relationship Id="rId8" Type="http://schemas.openxmlformats.org/officeDocument/2006/relationships/image" Target="media/image2.png"></Relationship><Relationship Id="rId9" Type="http://schemas.openxmlformats.org/officeDocument/2006/relationships/image" Target="media/image3.jpeg"></Relationship><Relationship Id="rId10" Type="http://schemas.openxmlformats.org/officeDocument/2006/relationships/image" Target="media/image4.png"></Relationship><Relationship Id="rId11" Type="http://schemas.openxmlformats.org/officeDocument/2006/relationships/header" Target="header34.xml"></Relationship><Relationship Id="rId12" Type="http://schemas.openxmlformats.org/officeDocument/2006/relationships/footer" Target="footer35.xml"></Relationship><Relationship Id="rId13" Type="http://schemas.openxmlformats.org/officeDocument/2006/relationships/footer" Target="footer37.xml"></Relationship><Relationship Id="rId14" Type="http://schemas.openxmlformats.org/officeDocument/2006/relationships/numbering" Target="numbering.xml"></Relationship><Relationship Id="rId15" Type="http://schemas.openxmlformats.org/officeDocument/2006/relationships/theme" Target="theme/theme1.xml"></Relationship></Relationships>
</file>

<file path=word/_rels/header2.xml.rels><?xml version="1.0" encoding="UTF-8"?>
<Relationships xmlns="http://schemas.openxmlformats.org/package/2006/relationships"><Relationship Id="rId1" Type="http://schemas.openxmlformats.org/officeDocument/2006/relationships/image" Target="media/image1.png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19360</Characters>
  <CharactersWithSpaces>0</CharactersWithSpaces>
  <Company>ACS</Company>
  <DocSecurity>0</DocSecurity>
  <HyperlinksChanged>false</HyperlinksChanged>
  <Lines>137</Lines>
  <LinksUpToDate>false</LinksUpToDate>
  <Pages>6</Pages>
  <Paragraphs>38</Paragraphs>
  <Words>2895</Words>
  <TotalTime>0</TotalTime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전민규</dc:creator>
  <cp:lastModifiedBy/>
  <dc:title>Template for Electronic Submission to ACS Journals</dc:title>
  <dcterms:modified xsi:type="dcterms:W3CDTF">2024-06-03T11:23:00Z</dcterms:modified>
</cp:coreProperties>
</file>